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Pr>
      <w:tblGrid>
        <w:gridCol w:w="4026"/>
        <w:gridCol w:w="6831"/>
      </w:tblGrid>
      <w:tr w:rsidR="00ED7735" w:rsidRPr="00DC0173" w14:paraId="19543E0F" w14:textId="77777777" w:rsidTr="008C0F0F">
        <w:trPr>
          <w:cnfStyle w:val="100000000000" w:firstRow="1" w:lastRow="0" w:firstColumn="0" w:lastColumn="0" w:oddVBand="0" w:evenVBand="0" w:oddHBand="0" w:evenHBand="0" w:firstRowFirstColumn="0" w:firstRowLastColumn="0" w:lastRowFirstColumn="0" w:lastRowLastColumn="0"/>
        </w:trPr>
        <w:tc>
          <w:tcPr>
            <w:tcW w:w="4026" w:type="dxa"/>
          </w:tcPr>
          <w:p w14:paraId="0B15A52C" w14:textId="77777777" w:rsidR="00ED7735" w:rsidRPr="00DC0173" w:rsidRDefault="00ED7735" w:rsidP="008C0F0F">
            <w:pPr>
              <w:pStyle w:val="TableTextWhite"/>
              <w:rPr>
                <w:b/>
              </w:rPr>
            </w:pPr>
            <w:r>
              <w:rPr>
                <w:b/>
              </w:rPr>
              <w:t>Cluster</w:t>
            </w:r>
          </w:p>
        </w:tc>
        <w:tc>
          <w:tcPr>
            <w:tcW w:w="6831" w:type="dxa"/>
          </w:tcPr>
          <w:p w14:paraId="586E44DA" w14:textId="3490F4A8" w:rsidR="00ED7735" w:rsidRPr="00DC0173" w:rsidRDefault="00C7595F" w:rsidP="008C0F0F">
            <w:pPr>
              <w:pStyle w:val="TableTextWhite"/>
            </w:pPr>
            <w:r>
              <w:t xml:space="preserve">Planning </w:t>
            </w:r>
            <w:r w:rsidR="00ED7735">
              <w:t>and Environment</w:t>
            </w:r>
          </w:p>
        </w:tc>
      </w:tr>
      <w:tr w:rsidR="00ED7735" w:rsidRPr="00DC0173" w14:paraId="6CC55E5C" w14:textId="77777777" w:rsidTr="008C0F0F">
        <w:tc>
          <w:tcPr>
            <w:tcW w:w="4026" w:type="dxa"/>
          </w:tcPr>
          <w:p w14:paraId="4FDD7747" w14:textId="77777777" w:rsidR="00ED7735" w:rsidRDefault="00ED7735" w:rsidP="008C0F0F">
            <w:pPr>
              <w:pStyle w:val="TableTextWhite"/>
              <w:rPr>
                <w:b/>
              </w:rPr>
            </w:pPr>
            <w:r>
              <w:rPr>
                <w:b/>
              </w:rPr>
              <w:t>Agency</w:t>
            </w:r>
          </w:p>
        </w:tc>
        <w:tc>
          <w:tcPr>
            <w:tcW w:w="6831" w:type="dxa"/>
          </w:tcPr>
          <w:p w14:paraId="7E35B09C" w14:textId="44992B12" w:rsidR="00ED7735" w:rsidRDefault="00C7595F" w:rsidP="008C0F0F">
            <w:pPr>
              <w:pStyle w:val="TableTextWhite"/>
            </w:pPr>
            <w:r>
              <w:t xml:space="preserve">Department </w:t>
            </w:r>
            <w:r w:rsidR="00085640">
              <w:t xml:space="preserve">of </w:t>
            </w:r>
            <w:r>
              <w:t xml:space="preserve">Planning </w:t>
            </w:r>
            <w:r w:rsidR="00ED7735">
              <w:t>and Environment</w:t>
            </w:r>
          </w:p>
        </w:tc>
      </w:tr>
      <w:tr w:rsidR="00ED7735" w:rsidRPr="00DC0173" w14:paraId="7ACC2432" w14:textId="77777777" w:rsidTr="008C0F0F">
        <w:tc>
          <w:tcPr>
            <w:tcW w:w="4026" w:type="dxa"/>
          </w:tcPr>
          <w:p w14:paraId="779F9E15" w14:textId="77777777" w:rsidR="00ED7735" w:rsidRDefault="00ED7735" w:rsidP="008C0F0F">
            <w:pPr>
              <w:pStyle w:val="TableTextWhite"/>
              <w:rPr>
                <w:b/>
              </w:rPr>
            </w:pPr>
            <w:r w:rsidRPr="00FC13A3">
              <w:rPr>
                <w:b/>
              </w:rPr>
              <w:t>Classification/Grade/Band</w:t>
            </w:r>
          </w:p>
        </w:tc>
        <w:tc>
          <w:tcPr>
            <w:tcW w:w="6831" w:type="dxa"/>
          </w:tcPr>
          <w:p w14:paraId="4180871C" w14:textId="62D38571" w:rsidR="00ED7735" w:rsidRDefault="00ED7735" w:rsidP="008C0F0F">
            <w:pPr>
              <w:pStyle w:val="TableTextWhite"/>
            </w:pPr>
            <w:r>
              <w:t xml:space="preserve">Clerk </w:t>
            </w:r>
            <w:r w:rsidR="00320693">
              <w:t xml:space="preserve">Grade </w:t>
            </w:r>
            <w:r>
              <w:t>7</w:t>
            </w:r>
            <w:r w:rsidR="00C5410A">
              <w:t>/</w:t>
            </w:r>
            <w:r>
              <w:t>8</w:t>
            </w:r>
            <w:r w:rsidR="00C5410A">
              <w:t xml:space="preserve"> </w:t>
            </w:r>
          </w:p>
        </w:tc>
      </w:tr>
      <w:tr w:rsidR="000A0464" w:rsidRPr="00DC0173" w14:paraId="35024EB0" w14:textId="77777777" w:rsidTr="008C0F0F">
        <w:tc>
          <w:tcPr>
            <w:tcW w:w="4026" w:type="dxa"/>
          </w:tcPr>
          <w:p w14:paraId="21FAE348" w14:textId="34917C5F" w:rsidR="000A0464" w:rsidRPr="00FC13A3" w:rsidRDefault="000A0464" w:rsidP="008C0F0F">
            <w:pPr>
              <w:pStyle w:val="TableTextWhite"/>
              <w:rPr>
                <w:b/>
              </w:rPr>
            </w:pPr>
            <w:r>
              <w:rPr>
                <w:b/>
              </w:rPr>
              <w:t>Location</w:t>
            </w:r>
          </w:p>
        </w:tc>
        <w:tc>
          <w:tcPr>
            <w:tcW w:w="6831" w:type="dxa"/>
          </w:tcPr>
          <w:p w14:paraId="30EDFCA7" w14:textId="2CB81746" w:rsidR="000A0464" w:rsidRDefault="00C5410A" w:rsidP="008C0F0F">
            <w:pPr>
              <w:pStyle w:val="TableTextWhite"/>
            </w:pPr>
            <w:r>
              <w:t>Sydney CBD</w:t>
            </w:r>
          </w:p>
        </w:tc>
      </w:tr>
      <w:tr w:rsidR="00ED7735" w:rsidRPr="00DC0173" w14:paraId="0E19EA17" w14:textId="77777777" w:rsidTr="008C0F0F">
        <w:tc>
          <w:tcPr>
            <w:tcW w:w="4026" w:type="dxa"/>
          </w:tcPr>
          <w:p w14:paraId="04958901" w14:textId="77777777" w:rsidR="00ED7735" w:rsidRDefault="00ED7735" w:rsidP="008C0F0F">
            <w:pPr>
              <w:pStyle w:val="TableTextWhite"/>
              <w:rPr>
                <w:b/>
              </w:rPr>
            </w:pPr>
            <w:r w:rsidRPr="00FC13A3">
              <w:rPr>
                <w:b/>
              </w:rPr>
              <w:t>ANZSCO Code</w:t>
            </w:r>
          </w:p>
        </w:tc>
        <w:tc>
          <w:tcPr>
            <w:tcW w:w="6831" w:type="dxa"/>
          </w:tcPr>
          <w:p w14:paraId="77B5A222" w14:textId="77777777" w:rsidR="00ED7735" w:rsidRDefault="00ED7735" w:rsidP="008C0F0F">
            <w:pPr>
              <w:pStyle w:val="TableTextWhite"/>
            </w:pPr>
            <w:r>
              <w:t>224912</w:t>
            </w:r>
          </w:p>
        </w:tc>
      </w:tr>
      <w:tr w:rsidR="00ED7735" w:rsidRPr="00DC0173" w14:paraId="5D15553E" w14:textId="77777777" w:rsidTr="008C0F0F">
        <w:tc>
          <w:tcPr>
            <w:tcW w:w="4026" w:type="dxa"/>
          </w:tcPr>
          <w:p w14:paraId="13363206" w14:textId="77777777" w:rsidR="00ED7735" w:rsidRDefault="00ED7735" w:rsidP="008C0F0F">
            <w:pPr>
              <w:pStyle w:val="TableTextWhite"/>
              <w:rPr>
                <w:b/>
              </w:rPr>
            </w:pPr>
            <w:r w:rsidRPr="00FC13A3">
              <w:rPr>
                <w:b/>
              </w:rPr>
              <w:t>PCAT Code</w:t>
            </w:r>
          </w:p>
        </w:tc>
        <w:tc>
          <w:tcPr>
            <w:tcW w:w="6831" w:type="dxa"/>
          </w:tcPr>
          <w:p w14:paraId="2129D677" w14:textId="77777777" w:rsidR="00ED7735" w:rsidRDefault="00ED7735" w:rsidP="008C0F0F">
            <w:pPr>
              <w:pStyle w:val="TableTextWhite"/>
            </w:pPr>
            <w:r>
              <w:t>1111492</w:t>
            </w:r>
          </w:p>
        </w:tc>
      </w:tr>
      <w:tr w:rsidR="00ED7735" w:rsidRPr="00DC0173" w14:paraId="09D8CC7A" w14:textId="77777777" w:rsidTr="008C0F0F">
        <w:tc>
          <w:tcPr>
            <w:tcW w:w="4026" w:type="dxa"/>
          </w:tcPr>
          <w:p w14:paraId="16740657" w14:textId="77777777" w:rsidR="00ED7735" w:rsidRDefault="00ED7735" w:rsidP="008C0F0F">
            <w:pPr>
              <w:pStyle w:val="TableTextWhite"/>
              <w:rPr>
                <w:b/>
              </w:rPr>
            </w:pPr>
            <w:r w:rsidRPr="00FC13A3">
              <w:rPr>
                <w:b/>
              </w:rPr>
              <w:t>Date of Approval</w:t>
            </w:r>
          </w:p>
        </w:tc>
        <w:tc>
          <w:tcPr>
            <w:tcW w:w="6831" w:type="dxa"/>
          </w:tcPr>
          <w:p w14:paraId="7C23F0C6" w14:textId="2E15370A" w:rsidR="00ED7735" w:rsidRDefault="006E5470" w:rsidP="006E5470">
            <w:pPr>
              <w:pStyle w:val="TableTextWhite"/>
            </w:pPr>
            <w:r>
              <w:t xml:space="preserve">February 2023 </w:t>
            </w:r>
            <w:r w:rsidR="0001313D">
              <w:t>(</w:t>
            </w:r>
            <w:r>
              <w:t>u</w:t>
            </w:r>
            <w:r w:rsidR="0001313D">
              <w:t xml:space="preserve">pdated </w:t>
            </w:r>
            <w:r>
              <w:t xml:space="preserve">from September </w:t>
            </w:r>
            <w:r w:rsidR="0001313D">
              <w:t>2023)</w:t>
            </w:r>
          </w:p>
        </w:tc>
      </w:tr>
      <w:tr w:rsidR="00ED7735" w:rsidRPr="00DC0173" w14:paraId="26A971AB" w14:textId="77777777" w:rsidTr="008C0F0F">
        <w:tc>
          <w:tcPr>
            <w:tcW w:w="4026" w:type="dxa"/>
            <w:tcBorders>
              <w:bottom w:val="single" w:sz="8" w:space="0" w:color="auto"/>
            </w:tcBorders>
          </w:tcPr>
          <w:p w14:paraId="5D291133" w14:textId="77777777" w:rsidR="00ED7735" w:rsidRDefault="00ED7735" w:rsidP="008C0F0F">
            <w:pPr>
              <w:pStyle w:val="TableTextWhite"/>
              <w:rPr>
                <w:b/>
              </w:rPr>
            </w:pPr>
            <w:r w:rsidRPr="00FC13A3">
              <w:rPr>
                <w:b/>
              </w:rPr>
              <w:t>Agency Website</w:t>
            </w:r>
          </w:p>
        </w:tc>
        <w:tc>
          <w:tcPr>
            <w:tcW w:w="6831" w:type="dxa"/>
            <w:tcBorders>
              <w:bottom w:val="single" w:sz="8" w:space="0" w:color="auto"/>
            </w:tcBorders>
          </w:tcPr>
          <w:p w14:paraId="0B85CA2A" w14:textId="474330B8" w:rsidR="00ED7735" w:rsidRDefault="0001313D" w:rsidP="008C0F0F">
            <w:pPr>
              <w:pStyle w:val="TableTextWhite"/>
            </w:pPr>
            <w:r w:rsidRPr="003510D1">
              <w:t>www.dpie.nsw.gov.au</w:t>
            </w:r>
            <w:r>
              <w:t xml:space="preserve"> </w:t>
            </w:r>
          </w:p>
        </w:tc>
      </w:tr>
    </w:tbl>
    <w:p w14:paraId="4D7A80BE" w14:textId="22514B91" w:rsidR="00ED7735" w:rsidRDefault="00ED7735" w:rsidP="00ED7735">
      <w:pPr>
        <w:tabs>
          <w:tab w:val="left" w:pos="2925"/>
        </w:tabs>
        <w:rPr>
          <w:rFonts w:cs="Arial"/>
        </w:rPr>
      </w:pPr>
    </w:p>
    <w:p w14:paraId="7E85DE0D" w14:textId="619364AF" w:rsidR="0001313D" w:rsidRPr="00F269A0" w:rsidRDefault="0001313D" w:rsidP="006E5470">
      <w:pPr>
        <w:tabs>
          <w:tab w:val="center" w:pos="5400"/>
        </w:tabs>
        <w:rPr>
          <w:rStyle w:val="Heading1Char"/>
        </w:rPr>
      </w:pPr>
      <w:r w:rsidRPr="00614552">
        <w:rPr>
          <w:rStyle w:val="Heading1Char"/>
        </w:rPr>
        <w:t>Agency overview</w:t>
      </w:r>
      <w:r w:rsidR="006E5470">
        <w:rPr>
          <w:rStyle w:val="Heading1Char"/>
        </w:rPr>
        <w:tab/>
      </w:r>
    </w:p>
    <w:p w14:paraId="23CCAFED" w14:textId="32A26317" w:rsidR="0001313D" w:rsidRPr="00E55704" w:rsidRDefault="0001313D" w:rsidP="00ED7735">
      <w:pPr>
        <w:tabs>
          <w:tab w:val="left" w:pos="2925"/>
        </w:tabs>
        <w:rPr>
          <w:rFonts w:cs="Arial"/>
        </w:rPr>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46060DBA" w14:textId="77777777" w:rsidR="00ED7735" w:rsidRPr="00614552" w:rsidRDefault="00ED7735" w:rsidP="00ED7735">
      <w:pPr>
        <w:tabs>
          <w:tab w:val="left" w:pos="2925"/>
        </w:tabs>
        <w:rPr>
          <w:rStyle w:val="Heading1Char"/>
        </w:rPr>
      </w:pPr>
      <w:r w:rsidRPr="00614552">
        <w:rPr>
          <w:rStyle w:val="Heading1Char"/>
        </w:rPr>
        <w:t>Primary purpose of the role</w:t>
      </w:r>
    </w:p>
    <w:p w14:paraId="714963A5" w14:textId="72482B22" w:rsidR="00ED7735" w:rsidRDefault="00ED7735" w:rsidP="00ED7735">
      <w:pPr>
        <w:tabs>
          <w:tab w:val="left" w:pos="2925"/>
        </w:tabs>
        <w:rPr>
          <w:rFonts w:ascii="Georgia" w:hAnsi="Georgia"/>
        </w:rPr>
      </w:pPr>
      <w:r>
        <w:t>The Departmental Liaison Officer provides a range of administ</w:t>
      </w:r>
      <w:r w:rsidR="008A3BCC">
        <w:t xml:space="preserve">ration and support services </w:t>
      </w:r>
      <w:r>
        <w:t xml:space="preserve">to facilitate the effective and efficient operation </w:t>
      </w:r>
      <w:r w:rsidR="000A0464">
        <w:t xml:space="preserve">of the Minister’s office and </w:t>
      </w:r>
      <w:r>
        <w:t>contribute to the achievement of Department and Government commitments.</w:t>
      </w:r>
    </w:p>
    <w:p w14:paraId="2780B14C" w14:textId="77777777" w:rsidR="00ED7735" w:rsidRPr="00172DFE" w:rsidRDefault="00ED7735" w:rsidP="00ED7735">
      <w:pPr>
        <w:tabs>
          <w:tab w:val="left" w:pos="2925"/>
        </w:tabs>
        <w:rPr>
          <w:rStyle w:val="Heading1Char"/>
        </w:rPr>
      </w:pPr>
      <w:r w:rsidRPr="00172DFE">
        <w:rPr>
          <w:rStyle w:val="Heading1Char"/>
        </w:rPr>
        <w:t>Key accountabilities</w:t>
      </w:r>
    </w:p>
    <w:p w14:paraId="0F1E69EF" w14:textId="0E86D558" w:rsidR="00ED7735" w:rsidRPr="004E4ED1" w:rsidRDefault="00ED7735" w:rsidP="00ED7735">
      <w:pPr>
        <w:pStyle w:val="ListParagraph"/>
        <w:numPr>
          <w:ilvl w:val="0"/>
          <w:numId w:val="27"/>
        </w:numPr>
        <w:tabs>
          <w:tab w:val="left" w:pos="2925"/>
        </w:tabs>
        <w:rPr>
          <w:rFonts w:cs="Arial"/>
        </w:rPr>
      </w:pPr>
      <w:r>
        <w:t xml:space="preserve">Provide a readily accessible source of knowledge and skills regarding the operations of the Department </w:t>
      </w:r>
      <w:r w:rsidR="00C7595F">
        <w:t xml:space="preserve">of Planning and Environment </w:t>
      </w:r>
      <w:r w:rsidR="00C60CEA">
        <w:t xml:space="preserve">(DPE) </w:t>
      </w:r>
      <w:r>
        <w:t>within the Minister's portfolio.</w:t>
      </w:r>
    </w:p>
    <w:p w14:paraId="1CD2A794" w14:textId="5B8A1FF5" w:rsidR="00ED7735" w:rsidRPr="004E4ED1" w:rsidRDefault="00ED7735" w:rsidP="00ED7735">
      <w:pPr>
        <w:pStyle w:val="ListParagraph"/>
        <w:numPr>
          <w:ilvl w:val="0"/>
          <w:numId w:val="27"/>
        </w:numPr>
        <w:tabs>
          <w:tab w:val="left" w:pos="2925"/>
        </w:tabs>
        <w:rPr>
          <w:rFonts w:cs="Arial"/>
        </w:rPr>
      </w:pPr>
      <w:r>
        <w:t xml:space="preserve">Send requests to DPE for </w:t>
      </w:r>
      <w:r w:rsidR="008A3BCC">
        <w:t xml:space="preserve">the </w:t>
      </w:r>
      <w:r>
        <w:t>preparation of correspondence, briefing material, media releases, speeches and parliamentary briefs and other advice on behalf of the Minister which address key issues for the portfolio and the Government.</w:t>
      </w:r>
    </w:p>
    <w:p w14:paraId="5873A39E" w14:textId="2CCF0557" w:rsidR="00ED7735" w:rsidRPr="004E4ED1" w:rsidRDefault="00ED7735" w:rsidP="00ED7735">
      <w:pPr>
        <w:pStyle w:val="ListParagraph"/>
        <w:numPr>
          <w:ilvl w:val="0"/>
          <w:numId w:val="27"/>
        </w:numPr>
        <w:tabs>
          <w:tab w:val="left" w:pos="2925"/>
        </w:tabs>
        <w:rPr>
          <w:rFonts w:cs="Arial"/>
        </w:rPr>
      </w:pPr>
      <w:r>
        <w:t>Coordinate and review advice and responses to issues which affect the DPE to ensure a timely</w:t>
      </w:r>
      <w:r>
        <w:br/>
        <w:t>response through liaising with departmental staff and other agencies.</w:t>
      </w:r>
    </w:p>
    <w:p w14:paraId="6758CFD8" w14:textId="61F82541" w:rsidR="00ED7735" w:rsidRPr="004E4ED1" w:rsidRDefault="0001313D" w:rsidP="00ED7735">
      <w:pPr>
        <w:pStyle w:val="ListParagraph"/>
        <w:numPr>
          <w:ilvl w:val="0"/>
          <w:numId w:val="27"/>
        </w:numPr>
        <w:tabs>
          <w:tab w:val="left" w:pos="2925"/>
        </w:tabs>
        <w:rPr>
          <w:rFonts w:cs="Arial"/>
        </w:rPr>
      </w:pPr>
      <w:r>
        <w:t>Assist with the coordination of r</w:t>
      </w:r>
      <w:r w:rsidR="00ED7735">
        <w:t xml:space="preserve">outine briefs and correspondence, </w:t>
      </w:r>
      <w:proofErr w:type="gramStart"/>
      <w:r w:rsidR="00ED7735">
        <w:t>reports</w:t>
      </w:r>
      <w:proofErr w:type="gramEnd"/>
      <w:r w:rsidR="00ED7735">
        <w:t xml:space="preserve"> and responses to parliamentary questions for the Minister on behalf of the DPE in consultation with other departmental staff.</w:t>
      </w:r>
    </w:p>
    <w:p w14:paraId="552A7D70" w14:textId="0E3E302C" w:rsidR="00ED7735" w:rsidRPr="004E4ED1" w:rsidRDefault="00ED7735" w:rsidP="00ED7735">
      <w:pPr>
        <w:pStyle w:val="ListParagraph"/>
        <w:numPr>
          <w:ilvl w:val="0"/>
          <w:numId w:val="27"/>
        </w:numPr>
        <w:tabs>
          <w:tab w:val="left" w:pos="2925"/>
        </w:tabs>
        <w:rPr>
          <w:rFonts w:cs="Arial"/>
        </w:rPr>
      </w:pPr>
      <w:r>
        <w:t>Liaise with DPE staff to ensure quality policy support and advice is provided to the Minister.</w:t>
      </w:r>
    </w:p>
    <w:p w14:paraId="5EDD3A71" w14:textId="77777777" w:rsidR="00ED7735" w:rsidRPr="004E4ED1" w:rsidRDefault="00ED7735" w:rsidP="00ED7735">
      <w:pPr>
        <w:pStyle w:val="ListParagraph"/>
        <w:numPr>
          <w:ilvl w:val="0"/>
          <w:numId w:val="27"/>
        </w:numPr>
        <w:tabs>
          <w:tab w:val="left" w:pos="2925"/>
        </w:tabs>
        <w:rPr>
          <w:rFonts w:cs="Arial"/>
        </w:rPr>
      </w:pPr>
      <w:r>
        <w:t xml:space="preserve">Support the Minister’s involvement in meetings, </w:t>
      </w:r>
      <w:proofErr w:type="gramStart"/>
      <w:r>
        <w:t>events</w:t>
      </w:r>
      <w:proofErr w:type="gramEnd"/>
      <w:r>
        <w:t xml:space="preserve"> and visits by coordinating quality, timely advice and written material.</w:t>
      </w:r>
    </w:p>
    <w:p w14:paraId="6817DD36" w14:textId="77777777" w:rsidR="00ED7735" w:rsidRPr="004E4ED1" w:rsidRDefault="00ED7735" w:rsidP="00ED7735">
      <w:pPr>
        <w:pStyle w:val="ListParagraph"/>
        <w:numPr>
          <w:ilvl w:val="0"/>
          <w:numId w:val="27"/>
        </w:numPr>
        <w:tabs>
          <w:tab w:val="left" w:pos="2925"/>
        </w:tabs>
        <w:rPr>
          <w:rFonts w:cs="Arial"/>
        </w:rPr>
      </w:pPr>
      <w:r>
        <w:lastRenderedPageBreak/>
        <w:t xml:space="preserve">Maintain communication strategies and networks within the </w:t>
      </w:r>
      <w:proofErr w:type="spellStart"/>
      <w:r>
        <w:t>organisation</w:t>
      </w:r>
      <w:proofErr w:type="spellEnd"/>
      <w:r>
        <w:t xml:space="preserve"> to build an understanding and commitment to the department’s strategic intent.</w:t>
      </w:r>
    </w:p>
    <w:p w14:paraId="768E4A7D" w14:textId="77777777" w:rsidR="00ED7735" w:rsidRPr="00614552" w:rsidRDefault="00ED7735" w:rsidP="00ED7735">
      <w:pPr>
        <w:tabs>
          <w:tab w:val="left" w:pos="2925"/>
        </w:tabs>
        <w:rPr>
          <w:rStyle w:val="Heading1Char"/>
        </w:rPr>
      </w:pPr>
      <w:r w:rsidRPr="00614552">
        <w:rPr>
          <w:rStyle w:val="Heading1Char"/>
        </w:rPr>
        <w:t>Key challenges</w:t>
      </w:r>
    </w:p>
    <w:p w14:paraId="01D05858" w14:textId="77777777" w:rsidR="00ED7735" w:rsidRPr="004E4ED1" w:rsidRDefault="00ED7735" w:rsidP="00ED7735">
      <w:pPr>
        <w:pStyle w:val="ListParagraph"/>
        <w:numPr>
          <w:ilvl w:val="0"/>
          <w:numId w:val="28"/>
        </w:numPr>
        <w:tabs>
          <w:tab w:val="left" w:pos="2925"/>
        </w:tabs>
        <w:rPr>
          <w:rFonts w:ascii="Georgia" w:hAnsi="Georgia"/>
        </w:rPr>
      </w:pPr>
      <w:r>
        <w:t xml:space="preserve">Undertaking a diverse range of tasks in a </w:t>
      </w:r>
      <w:proofErr w:type="gramStart"/>
      <w:r>
        <w:t>high pressure</w:t>
      </w:r>
      <w:proofErr w:type="gramEnd"/>
      <w:r>
        <w:t xml:space="preserve"> environment of competing priorities and tight timeframes.</w:t>
      </w:r>
    </w:p>
    <w:p w14:paraId="30D9D347" w14:textId="07BA2035" w:rsidR="00ED7735" w:rsidRPr="004E4ED1" w:rsidRDefault="00ED7735" w:rsidP="00ED7735">
      <w:pPr>
        <w:pStyle w:val="ListParagraph"/>
        <w:numPr>
          <w:ilvl w:val="0"/>
          <w:numId w:val="28"/>
        </w:numPr>
        <w:tabs>
          <w:tab w:val="left" w:pos="2925"/>
        </w:tabs>
        <w:rPr>
          <w:rFonts w:ascii="Georgia" w:hAnsi="Georgia"/>
        </w:rPr>
      </w:pPr>
      <w:r>
        <w:t>Assimilating information quickly and translat</w:t>
      </w:r>
      <w:r w:rsidR="00CA6EFB">
        <w:t>ing</w:t>
      </w:r>
      <w:r>
        <w:t xml:space="preserve"> complex, technical information into easy to understand, plain English policy, </w:t>
      </w:r>
      <w:proofErr w:type="gramStart"/>
      <w:r>
        <w:t>reports</w:t>
      </w:r>
      <w:proofErr w:type="gramEnd"/>
      <w:r>
        <w:t xml:space="preserve"> and communication material.</w:t>
      </w:r>
    </w:p>
    <w:p w14:paraId="2F8B2430" w14:textId="77777777" w:rsidR="00ED7735" w:rsidRPr="00EC5C1D" w:rsidRDefault="00ED7735" w:rsidP="00ED7735">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ED7735" w:rsidRPr="00C978B9" w14:paraId="6CB09DFB" w14:textId="77777777" w:rsidTr="008C0F0F">
        <w:trPr>
          <w:cnfStyle w:val="100000000000" w:firstRow="1" w:lastRow="0" w:firstColumn="0" w:lastColumn="0" w:oddVBand="0" w:evenVBand="0" w:oddHBand="0" w:evenHBand="0" w:firstRowFirstColumn="0" w:firstRowLastColumn="0" w:lastRowFirstColumn="0" w:lastRowLastColumn="0"/>
          <w:tblHeader/>
        </w:trPr>
        <w:tc>
          <w:tcPr>
            <w:tcW w:w="3601" w:type="dxa"/>
          </w:tcPr>
          <w:p w14:paraId="07F8044E" w14:textId="77777777" w:rsidR="00ED7735" w:rsidRPr="00C978B9" w:rsidRDefault="00ED7735" w:rsidP="008C0F0F">
            <w:pPr>
              <w:pStyle w:val="TableTextWhite0"/>
            </w:pPr>
            <w:r w:rsidRPr="00C978B9">
              <w:t>Who</w:t>
            </w:r>
          </w:p>
        </w:tc>
        <w:tc>
          <w:tcPr>
            <w:tcW w:w="7256" w:type="dxa"/>
          </w:tcPr>
          <w:p w14:paraId="50C9E705" w14:textId="77777777" w:rsidR="00ED7735" w:rsidRPr="00C978B9" w:rsidRDefault="00ED7735" w:rsidP="008C0F0F">
            <w:pPr>
              <w:pStyle w:val="TableTextWhite0"/>
            </w:pPr>
            <w:r>
              <w:t xml:space="preserve"> </w:t>
            </w:r>
            <w:r w:rsidRPr="00C978B9">
              <w:t>Why</w:t>
            </w:r>
          </w:p>
        </w:tc>
      </w:tr>
      <w:tr w:rsidR="00ED7735" w:rsidRPr="00A8245E" w14:paraId="6E7CF76A" w14:textId="77777777" w:rsidTr="008C0F0F">
        <w:tc>
          <w:tcPr>
            <w:tcW w:w="3601" w:type="dxa"/>
            <w:shd w:val="clear" w:color="auto" w:fill="BCBEC0"/>
          </w:tcPr>
          <w:p w14:paraId="4EA986FE" w14:textId="5A4F863D" w:rsidR="00ED7735" w:rsidRPr="00A8245E" w:rsidRDefault="00ED7735" w:rsidP="008C0F0F">
            <w:pPr>
              <w:pStyle w:val="TableText"/>
              <w:keepNext/>
              <w:rPr>
                <w:b/>
              </w:rPr>
            </w:pPr>
            <w:r w:rsidRPr="00A8245E">
              <w:rPr>
                <w:b/>
              </w:rPr>
              <w:t>Internal</w:t>
            </w:r>
          </w:p>
        </w:tc>
        <w:tc>
          <w:tcPr>
            <w:tcW w:w="7256" w:type="dxa"/>
            <w:shd w:val="clear" w:color="auto" w:fill="BCBEC0"/>
          </w:tcPr>
          <w:p w14:paraId="58AC8BD3" w14:textId="77777777" w:rsidR="00ED7735" w:rsidRPr="00A8245E" w:rsidRDefault="00ED7735" w:rsidP="008C0F0F">
            <w:pPr>
              <w:pStyle w:val="TableText"/>
              <w:keepNext/>
              <w:rPr>
                <w:b/>
              </w:rPr>
            </w:pPr>
          </w:p>
        </w:tc>
      </w:tr>
      <w:tr w:rsidR="00F05C2C" w:rsidRPr="00A15CDB" w14:paraId="0D8CE4A9" w14:textId="77777777" w:rsidTr="00F05C2C">
        <w:tc>
          <w:tcPr>
            <w:tcW w:w="3601" w:type="dxa"/>
          </w:tcPr>
          <w:p w14:paraId="7476D955" w14:textId="77777777" w:rsidR="00F05C2C" w:rsidRPr="00A15CDB" w:rsidRDefault="00F05C2C" w:rsidP="00A31E51">
            <w:pPr>
              <w:pStyle w:val="TableText"/>
            </w:pPr>
            <w:r>
              <w:t>Minister’s office and Members of Parliament</w:t>
            </w:r>
          </w:p>
        </w:tc>
        <w:tc>
          <w:tcPr>
            <w:tcW w:w="7256" w:type="dxa"/>
          </w:tcPr>
          <w:p w14:paraId="0E7C90E3" w14:textId="77777777" w:rsidR="00F05C2C" w:rsidRDefault="00F05C2C" w:rsidP="00A31E51">
            <w:pPr>
              <w:pStyle w:val="TableText"/>
              <w:numPr>
                <w:ilvl w:val="0"/>
                <w:numId w:val="3"/>
              </w:numPr>
            </w:pPr>
            <w:r>
              <w:t>Consult and liaise within the Minister's office and Members of Parliament.</w:t>
            </w:r>
          </w:p>
          <w:p w14:paraId="5BCF0372" w14:textId="77777777" w:rsidR="00F05C2C" w:rsidRDefault="00F05C2C" w:rsidP="00A31E51">
            <w:pPr>
              <w:pStyle w:val="TableText"/>
              <w:numPr>
                <w:ilvl w:val="0"/>
                <w:numId w:val="3"/>
              </w:numPr>
            </w:pPr>
            <w:r>
              <w:t xml:space="preserve">Negotiate timeframes with the Minister’s staff. </w:t>
            </w:r>
          </w:p>
          <w:p w14:paraId="2FC401FC" w14:textId="77777777" w:rsidR="00F05C2C" w:rsidRPr="00A15CDB" w:rsidRDefault="00F05C2C" w:rsidP="00A31E51">
            <w:pPr>
              <w:pStyle w:val="TableText"/>
              <w:numPr>
                <w:ilvl w:val="0"/>
                <w:numId w:val="3"/>
              </w:numPr>
            </w:pPr>
            <w:r>
              <w:t>Keep abreast of issues affecting the department and the Minister’s portfolio/s.</w:t>
            </w:r>
          </w:p>
        </w:tc>
      </w:tr>
      <w:tr w:rsidR="00F05C2C" w:rsidRPr="00A15CDB" w14:paraId="2D7915AE" w14:textId="77777777" w:rsidTr="00F05C2C">
        <w:tc>
          <w:tcPr>
            <w:tcW w:w="3601" w:type="dxa"/>
          </w:tcPr>
          <w:p w14:paraId="712CDF23" w14:textId="03E243E0" w:rsidR="00F05C2C" w:rsidRPr="00A15CDB" w:rsidRDefault="00F05C2C" w:rsidP="00A31E51">
            <w:pPr>
              <w:pStyle w:val="TableText"/>
            </w:pPr>
            <w:r w:rsidRPr="008F28EB">
              <w:t xml:space="preserve">Director, Parliamentary and Government Services / Ministerial Services, Deputy Secretaries, senior </w:t>
            </w:r>
            <w:proofErr w:type="gramStart"/>
            <w:r w:rsidRPr="008F28EB">
              <w:t>management</w:t>
            </w:r>
            <w:proofErr w:type="gramEnd"/>
            <w:r w:rsidRPr="008F28EB">
              <w:t xml:space="preserve"> </w:t>
            </w:r>
            <w:r w:rsidR="008A3BCC">
              <w:t>and other departmental staff</w:t>
            </w:r>
          </w:p>
        </w:tc>
        <w:tc>
          <w:tcPr>
            <w:tcW w:w="7256" w:type="dxa"/>
          </w:tcPr>
          <w:p w14:paraId="6179474F" w14:textId="77777777" w:rsidR="00F05C2C" w:rsidRDefault="00F05C2C" w:rsidP="00A31E51">
            <w:pPr>
              <w:pStyle w:val="TableText"/>
              <w:numPr>
                <w:ilvl w:val="0"/>
                <w:numId w:val="3"/>
              </w:numPr>
            </w:pPr>
            <w:r>
              <w:t xml:space="preserve">Provide information and advice to the Parliamentary and Government Services / Ministerial Services team, Deputy Secretaries, senior </w:t>
            </w:r>
            <w:proofErr w:type="gramStart"/>
            <w:r>
              <w:t>management</w:t>
            </w:r>
            <w:proofErr w:type="gramEnd"/>
            <w:r>
              <w:t xml:space="preserve"> and staff at all levels. </w:t>
            </w:r>
          </w:p>
          <w:p w14:paraId="04B19CCF" w14:textId="77777777" w:rsidR="00F05C2C" w:rsidRDefault="00F05C2C" w:rsidP="00A31E51">
            <w:pPr>
              <w:pStyle w:val="TableText"/>
              <w:numPr>
                <w:ilvl w:val="0"/>
                <w:numId w:val="3"/>
              </w:numPr>
            </w:pPr>
            <w:r>
              <w:t xml:space="preserve">Negotiate with departmental staff for information and advice to be provided to meet the timeframes of the Minister, </w:t>
            </w:r>
            <w:proofErr w:type="gramStart"/>
            <w:r>
              <w:t>Secretary</w:t>
            </w:r>
            <w:proofErr w:type="gramEnd"/>
            <w:r>
              <w:t xml:space="preserve"> and clients.</w:t>
            </w:r>
          </w:p>
          <w:p w14:paraId="2CD97563" w14:textId="77777777" w:rsidR="00F05C2C" w:rsidRPr="00A15CDB" w:rsidRDefault="00F05C2C" w:rsidP="00A31E51">
            <w:pPr>
              <w:pStyle w:val="TableText"/>
              <w:numPr>
                <w:ilvl w:val="0"/>
                <w:numId w:val="3"/>
              </w:numPr>
            </w:pPr>
            <w:r>
              <w:t>Advise the department of the Minister’s priorities for briefing papers and speech notes.</w:t>
            </w:r>
          </w:p>
        </w:tc>
      </w:tr>
      <w:tr w:rsidR="00F05C2C" w:rsidRPr="00A8245E" w14:paraId="0F70ECD3" w14:textId="77777777" w:rsidTr="00F05C2C">
        <w:tc>
          <w:tcPr>
            <w:tcW w:w="3601" w:type="dxa"/>
          </w:tcPr>
          <w:p w14:paraId="74377D4D" w14:textId="77777777" w:rsidR="00F05C2C" w:rsidRPr="00A8245E" w:rsidRDefault="00F05C2C" w:rsidP="00A31E51">
            <w:pPr>
              <w:pStyle w:val="TableText"/>
              <w:keepNext/>
              <w:rPr>
                <w:b/>
              </w:rPr>
            </w:pPr>
            <w:r w:rsidRPr="00A8245E">
              <w:rPr>
                <w:b/>
              </w:rPr>
              <w:t>External</w:t>
            </w:r>
          </w:p>
        </w:tc>
        <w:tc>
          <w:tcPr>
            <w:tcW w:w="7256" w:type="dxa"/>
          </w:tcPr>
          <w:p w14:paraId="0FCEE697" w14:textId="77777777" w:rsidR="00F05C2C" w:rsidRPr="00A8245E" w:rsidRDefault="00F05C2C" w:rsidP="00A31E51">
            <w:pPr>
              <w:pStyle w:val="TableText"/>
              <w:keepNext/>
              <w:rPr>
                <w:b/>
              </w:rPr>
            </w:pPr>
          </w:p>
        </w:tc>
      </w:tr>
      <w:tr w:rsidR="00F05C2C" w:rsidRPr="00A15CDB" w14:paraId="29FEEBB9" w14:textId="77777777" w:rsidTr="00F05C2C">
        <w:tc>
          <w:tcPr>
            <w:tcW w:w="3601" w:type="dxa"/>
          </w:tcPr>
          <w:p w14:paraId="7A3A1671" w14:textId="77777777" w:rsidR="00F05C2C" w:rsidRPr="00A15CDB" w:rsidRDefault="00F05C2C" w:rsidP="00A31E51">
            <w:pPr>
              <w:pStyle w:val="TableText"/>
            </w:pPr>
            <w:r>
              <w:t>Business enterprises, industry associations, Boards, other government agencies, the public and community groups</w:t>
            </w:r>
          </w:p>
        </w:tc>
        <w:tc>
          <w:tcPr>
            <w:tcW w:w="7256" w:type="dxa"/>
          </w:tcPr>
          <w:p w14:paraId="217BEB4F" w14:textId="77777777" w:rsidR="00F05C2C" w:rsidRPr="00A15CDB" w:rsidRDefault="00F05C2C" w:rsidP="00A31E51">
            <w:pPr>
              <w:pStyle w:val="TableText"/>
              <w:numPr>
                <w:ilvl w:val="0"/>
                <w:numId w:val="3"/>
              </w:numPr>
            </w:pPr>
            <w:r>
              <w:t>Provide and obtain information and advice from business enterprises, industry associations, Boards, other government agencies, the public and community groups.</w:t>
            </w:r>
          </w:p>
        </w:tc>
      </w:tr>
      <w:tr w:rsidR="008A3BCC" w:rsidRPr="00A15CDB" w14:paraId="38F61339" w14:textId="77777777" w:rsidTr="00F05C2C">
        <w:tc>
          <w:tcPr>
            <w:tcW w:w="3601" w:type="dxa"/>
          </w:tcPr>
          <w:p w14:paraId="5BD83826" w14:textId="40314775" w:rsidR="008A3BCC" w:rsidRDefault="008A3BCC" w:rsidP="008A3BCC">
            <w:pPr>
              <w:pStyle w:val="TableText"/>
            </w:pPr>
            <w:r>
              <w:t>Other agencies and ministerial offices</w:t>
            </w:r>
          </w:p>
        </w:tc>
        <w:tc>
          <w:tcPr>
            <w:tcW w:w="7256" w:type="dxa"/>
          </w:tcPr>
          <w:p w14:paraId="10EEEC90" w14:textId="3D8F2553" w:rsidR="008A3BCC" w:rsidRDefault="008A3BCC" w:rsidP="008A3BCC">
            <w:pPr>
              <w:pStyle w:val="TableText"/>
              <w:numPr>
                <w:ilvl w:val="0"/>
                <w:numId w:val="3"/>
              </w:numPr>
            </w:pPr>
            <w:r>
              <w:t>Network with agencies and other ministerial offices to establish appropriate links to garner required information and cooperation.</w:t>
            </w:r>
          </w:p>
        </w:tc>
      </w:tr>
    </w:tbl>
    <w:p w14:paraId="118AE395" w14:textId="77777777" w:rsidR="00ED7735" w:rsidRDefault="00ED7735" w:rsidP="00ED7735"/>
    <w:p w14:paraId="18498C8B" w14:textId="77777777" w:rsidR="00ED7735" w:rsidRDefault="00ED7735" w:rsidP="00ED7735">
      <w:pPr>
        <w:pStyle w:val="Heading1"/>
        <w:rPr>
          <w:sz w:val="28"/>
        </w:rPr>
      </w:pPr>
      <w:r w:rsidRPr="00614552">
        <w:t>Role dimensions</w:t>
      </w:r>
    </w:p>
    <w:p w14:paraId="58A179ED" w14:textId="77777777" w:rsidR="00ED7735" w:rsidRPr="00614552" w:rsidRDefault="00ED7735" w:rsidP="00ED7735">
      <w:pPr>
        <w:pStyle w:val="Heading2"/>
      </w:pPr>
      <w:r w:rsidRPr="00614552">
        <w:t>Decision making</w:t>
      </w:r>
    </w:p>
    <w:p w14:paraId="6AAA4CA2" w14:textId="23076627" w:rsidR="00181137" w:rsidRDefault="003A6377" w:rsidP="00181137">
      <w:pPr>
        <w:pStyle w:val="ListParagraph"/>
        <w:numPr>
          <w:ilvl w:val="0"/>
          <w:numId w:val="29"/>
        </w:numPr>
      </w:pPr>
      <w:r>
        <w:t xml:space="preserve">Liaise </w:t>
      </w:r>
      <w:r w:rsidR="00181137">
        <w:t xml:space="preserve">in consultation with the </w:t>
      </w:r>
      <w:r w:rsidR="005D0898">
        <w:t>Manager</w:t>
      </w:r>
      <w:r w:rsidR="00181137">
        <w:t xml:space="preserve"> and senior advisers to deliver departmental outcomes, and seeks advice and clarification as required. This includes exercising </w:t>
      </w:r>
      <w:r w:rsidR="005D0898">
        <w:t xml:space="preserve">some level of </w:t>
      </w:r>
      <w:r w:rsidR="00181137">
        <w:t xml:space="preserve">discretion when making decisions and determining </w:t>
      </w:r>
      <w:r w:rsidR="005D0898">
        <w:t xml:space="preserve">with the Manager </w:t>
      </w:r>
      <w:r w:rsidR="00181137">
        <w:t>the approach to work undertaken and being responsible for interpretation and recommendations made.</w:t>
      </w:r>
    </w:p>
    <w:p w14:paraId="224AC77B" w14:textId="3DBDEB52" w:rsidR="00181137" w:rsidRDefault="00181137" w:rsidP="00181137">
      <w:pPr>
        <w:pStyle w:val="ListParagraph"/>
        <w:numPr>
          <w:ilvl w:val="0"/>
          <w:numId w:val="29"/>
        </w:numPr>
      </w:pPr>
      <w:proofErr w:type="spellStart"/>
      <w:r>
        <w:t>Prioritises</w:t>
      </w:r>
      <w:proofErr w:type="spellEnd"/>
      <w:r>
        <w:t xml:space="preserve"> and </w:t>
      </w:r>
      <w:r w:rsidR="005D0898">
        <w:t>coordinates</w:t>
      </w:r>
      <w:r>
        <w:t xml:space="preserve"> multiple tasks and demands including matters with critical turnaround times while considering the priorities and objectives of the Minister, Senior </w:t>
      </w:r>
      <w:proofErr w:type="gramStart"/>
      <w:r>
        <w:t>Executive</w:t>
      </w:r>
      <w:proofErr w:type="gramEnd"/>
      <w:r>
        <w:t xml:space="preserve"> and the department. This includes identifying issues that are of sufficient urgency or significance that need to be brought to the attention of relevant executives or managers. </w:t>
      </w:r>
    </w:p>
    <w:p w14:paraId="29D3915A" w14:textId="35D17CA0" w:rsidR="00181137" w:rsidRDefault="00181137" w:rsidP="00181137">
      <w:pPr>
        <w:pStyle w:val="ListParagraph"/>
        <w:numPr>
          <w:ilvl w:val="0"/>
          <w:numId w:val="29"/>
        </w:numPr>
      </w:pPr>
      <w:r>
        <w:t xml:space="preserve">Provides </w:t>
      </w:r>
      <w:r w:rsidR="003D3A5B">
        <w:t xml:space="preserve">general </w:t>
      </w:r>
      <w:r>
        <w:t xml:space="preserve">advice and recommendations to the department in consultation with the Minister’s </w:t>
      </w:r>
      <w:proofErr w:type="gramStart"/>
      <w:r>
        <w:t>staff, and</w:t>
      </w:r>
      <w:proofErr w:type="gramEnd"/>
      <w:r>
        <w:t xml:space="preserve"> liaise with departmental staff on sensitive or confidential issues in consultation with the Minister’s staff. </w:t>
      </w:r>
    </w:p>
    <w:p w14:paraId="347BF11A" w14:textId="30B24C66" w:rsidR="00181137" w:rsidRDefault="006D3B35" w:rsidP="00181137">
      <w:pPr>
        <w:pStyle w:val="ListParagraph"/>
        <w:numPr>
          <w:ilvl w:val="0"/>
          <w:numId w:val="29"/>
        </w:numPr>
      </w:pPr>
      <w:r>
        <w:lastRenderedPageBreak/>
        <w:t>Assists in the identification</w:t>
      </w:r>
      <w:r w:rsidR="00181137">
        <w:t xml:space="preserve"> and implementation of systems improvements to enhance the engagement of Ministers’ Offices by the </w:t>
      </w:r>
      <w:r w:rsidR="00181137" w:rsidRPr="008F28EB">
        <w:t>Parliamentary and Government Services / Ministerial Services</w:t>
      </w:r>
      <w:r w:rsidR="00181137">
        <w:t xml:space="preserve">. </w:t>
      </w:r>
    </w:p>
    <w:p w14:paraId="2FED16AE" w14:textId="77777777" w:rsidR="00ED7735" w:rsidRPr="00614552" w:rsidRDefault="00ED7735" w:rsidP="00ED7735">
      <w:pPr>
        <w:pStyle w:val="Heading2"/>
      </w:pPr>
      <w:r w:rsidRPr="00614552">
        <w:t>Reporting line</w:t>
      </w:r>
    </w:p>
    <w:p w14:paraId="358BEA74" w14:textId="244D52F2" w:rsidR="00ED7735" w:rsidRPr="00603D53" w:rsidRDefault="00ED7735" w:rsidP="00ED7735">
      <w:pPr>
        <w:rPr>
          <w:rFonts w:cs="Arial"/>
          <w:szCs w:val="26"/>
        </w:rPr>
      </w:pPr>
      <w:bookmarkStart w:id="0" w:name="_Hlk126333178"/>
      <w:r>
        <w:t xml:space="preserve">The </w:t>
      </w:r>
      <w:r w:rsidR="00181137">
        <w:t>role</w:t>
      </w:r>
      <w:r>
        <w:t xml:space="preserve"> reports to the Director Parliamentary and Government </w:t>
      </w:r>
      <w:r w:rsidR="00181137">
        <w:t xml:space="preserve">/Ministerial </w:t>
      </w:r>
      <w:r>
        <w:t>Services. The role reports to the Minister’s Chief of Staff for day-to-day activities.</w:t>
      </w:r>
    </w:p>
    <w:bookmarkEnd w:id="0"/>
    <w:p w14:paraId="53AE246E" w14:textId="77777777" w:rsidR="00ED7735" w:rsidRPr="00614552" w:rsidRDefault="00ED7735" w:rsidP="00ED7735">
      <w:pPr>
        <w:pStyle w:val="Heading2"/>
      </w:pPr>
      <w:r w:rsidRPr="00614552">
        <w:t>Direct reports</w:t>
      </w:r>
    </w:p>
    <w:p w14:paraId="5AB863F4" w14:textId="732F2E86" w:rsidR="00ED7735" w:rsidRPr="00603D53" w:rsidRDefault="000A0464" w:rsidP="00ED7735">
      <w:pPr>
        <w:rPr>
          <w:rFonts w:cs="Arial"/>
          <w:szCs w:val="26"/>
        </w:rPr>
      </w:pPr>
      <w:r>
        <w:t>Nil</w:t>
      </w:r>
    </w:p>
    <w:p w14:paraId="6EDF793B" w14:textId="77777777" w:rsidR="00ED7735" w:rsidRPr="00614552" w:rsidRDefault="00ED7735" w:rsidP="00ED7735">
      <w:pPr>
        <w:pStyle w:val="Heading2"/>
      </w:pPr>
      <w:r w:rsidRPr="00614552">
        <w:t>Budget/Expenditure</w:t>
      </w:r>
    </w:p>
    <w:p w14:paraId="0E3AB45D" w14:textId="71EAA2C9" w:rsidR="00ED7735" w:rsidRDefault="000A0464" w:rsidP="00ED7735">
      <w:pPr>
        <w:rPr>
          <w:rFonts w:cs="Arial"/>
          <w:szCs w:val="26"/>
        </w:rPr>
      </w:pPr>
      <w:r>
        <w:t>Nil</w:t>
      </w:r>
    </w:p>
    <w:p w14:paraId="4943E9E0" w14:textId="77777777" w:rsidR="006A16EB" w:rsidRDefault="006A16EB" w:rsidP="00ED7735">
      <w:pPr>
        <w:tabs>
          <w:tab w:val="left" w:pos="2925"/>
        </w:tabs>
        <w:rPr>
          <w:rStyle w:val="Heading1Char"/>
        </w:rPr>
      </w:pPr>
      <w:r>
        <w:rPr>
          <w:rStyle w:val="Heading1Char"/>
        </w:rPr>
        <w:t>Knowledge and experience</w:t>
      </w:r>
    </w:p>
    <w:p w14:paraId="4D701C47" w14:textId="2678DF68" w:rsidR="006A16EB" w:rsidRPr="00F05C2C" w:rsidRDefault="00F05C2C" w:rsidP="006A16EB">
      <w:pPr>
        <w:pStyle w:val="ListParagraph"/>
        <w:numPr>
          <w:ilvl w:val="0"/>
          <w:numId w:val="30"/>
        </w:numPr>
        <w:rPr>
          <w:rFonts w:cs="Arial"/>
          <w:szCs w:val="26"/>
        </w:rPr>
      </w:pPr>
      <w:r w:rsidRPr="00F1682A">
        <w:t xml:space="preserve">A </w:t>
      </w:r>
      <w:r w:rsidR="006D3B35">
        <w:t xml:space="preserve">sound </w:t>
      </w:r>
      <w:r w:rsidRPr="00F1682A">
        <w:t>working knowledge of the machinery of government</w:t>
      </w:r>
      <w:r>
        <w:t xml:space="preserve"> </w:t>
      </w:r>
      <w:r w:rsidRPr="00F1682A">
        <w:t xml:space="preserve">and knowledge of the procedures required for ministerial correspondence, briefings, parliamentary </w:t>
      </w:r>
      <w:proofErr w:type="gramStart"/>
      <w:r w:rsidRPr="00F1682A">
        <w:t>material</w:t>
      </w:r>
      <w:proofErr w:type="gramEnd"/>
      <w:r w:rsidRPr="00F1682A">
        <w:t xml:space="preserve"> and speeches within the department. </w:t>
      </w:r>
    </w:p>
    <w:p w14:paraId="5AF0142F" w14:textId="77777777" w:rsidR="00F05C2C" w:rsidRPr="00F1682A" w:rsidRDefault="00F05C2C" w:rsidP="00F05C2C">
      <w:pPr>
        <w:pStyle w:val="ListParagraph"/>
        <w:numPr>
          <w:ilvl w:val="0"/>
          <w:numId w:val="30"/>
        </w:numPr>
      </w:pPr>
      <w:r w:rsidRPr="00F1682A">
        <w:t>Knowledge of the functions and objectives of the department.</w:t>
      </w:r>
    </w:p>
    <w:p w14:paraId="6AD34AF2" w14:textId="77777777" w:rsidR="00F05C2C" w:rsidRPr="003C3E2D" w:rsidRDefault="00F05C2C" w:rsidP="006D3B35">
      <w:pPr>
        <w:pStyle w:val="ListParagraph"/>
        <w:rPr>
          <w:rFonts w:cs="Arial"/>
          <w:szCs w:val="26"/>
        </w:rPr>
      </w:pPr>
    </w:p>
    <w:p w14:paraId="54998D71" w14:textId="77777777" w:rsidR="003A6377" w:rsidRPr="007D7B2A" w:rsidRDefault="003A6377" w:rsidP="003A6377">
      <w:pPr>
        <w:pStyle w:val="Heading2"/>
        <w:rPr>
          <w:color w:val="auto"/>
        </w:rPr>
      </w:pPr>
      <w:bookmarkStart w:id="1" w:name="_Hlk36203683"/>
      <w:bookmarkStart w:id="2" w:name="_Hlk36565316"/>
      <w:bookmarkStart w:id="3" w:name="_Hlk36209343"/>
      <w:bookmarkStart w:id="4" w:name="_Hlk36710441"/>
      <w:r w:rsidRPr="007D7B2A">
        <w:rPr>
          <w:color w:val="auto"/>
        </w:rPr>
        <w:t>Capabilities for the role</w:t>
      </w:r>
    </w:p>
    <w:p w14:paraId="21D41958" w14:textId="77777777" w:rsidR="003A6377" w:rsidRPr="00A0760A" w:rsidRDefault="003A6377" w:rsidP="003A6377">
      <w:pPr>
        <w:rPr>
          <w:rFonts w:cs="Arial"/>
        </w:rPr>
      </w:pPr>
      <w:r w:rsidRPr="00A0760A">
        <w:rPr>
          <w:rFonts w:cs="Arial"/>
        </w:rPr>
        <w:t xml:space="preserve">The </w:t>
      </w:r>
      <w:hyperlink r:id="rId8" w:history="1">
        <w:r w:rsidRPr="00A0760A">
          <w:rPr>
            <w:rStyle w:val="Hyperlink"/>
            <w:rFonts w:cs="Arial"/>
          </w:rPr>
          <w:t>NSW public sector capability framework</w:t>
        </w:r>
      </w:hyperlink>
      <w:r w:rsidRPr="00A0760A">
        <w:rPr>
          <w:rFonts w:cs="Arial"/>
        </w:rPr>
        <w:t xml:space="preserve"> describes the capabilities (knowledge, skills and abilities) needed to perform a role. There are four main groups of capabilities: personal attributes, relationships, </w:t>
      </w:r>
      <w:proofErr w:type="gramStart"/>
      <w:r w:rsidRPr="00A0760A">
        <w:rPr>
          <w:rFonts w:cs="Arial"/>
        </w:rPr>
        <w:t>results</w:t>
      </w:r>
      <w:proofErr w:type="gramEnd"/>
      <w:r w:rsidRPr="00A0760A">
        <w:rPr>
          <w:rFonts w:cs="Arial"/>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60DD1105" w14:textId="77777777" w:rsidR="003A6377" w:rsidRPr="00A0760A" w:rsidRDefault="003A6377" w:rsidP="003A6377">
      <w:pPr>
        <w:rPr>
          <w:rFonts w:cs="Arial"/>
        </w:rPr>
      </w:pPr>
      <w:r w:rsidRPr="00A0760A">
        <w:rPr>
          <w:rFonts w:cs="Arial"/>
        </w:rPr>
        <w:t>The capabilities are separated into focus capabilities and complementary capabilities</w:t>
      </w:r>
    </w:p>
    <w:p w14:paraId="1BE2D4AB" w14:textId="77777777" w:rsidR="003A6377" w:rsidRPr="007D7B2A" w:rsidRDefault="003A6377" w:rsidP="003A6377">
      <w:pPr>
        <w:pStyle w:val="Heading2"/>
        <w:rPr>
          <w:color w:val="auto"/>
        </w:rPr>
      </w:pPr>
      <w:r w:rsidRPr="007D7B2A">
        <w:rPr>
          <w:color w:val="auto"/>
        </w:rPr>
        <w:t>Focus capabilities</w:t>
      </w:r>
      <w:r w:rsidRPr="007D7B2A">
        <w:rPr>
          <w:color w:val="auto"/>
        </w:rPr>
        <w:tab/>
      </w:r>
    </w:p>
    <w:p w14:paraId="68057484" w14:textId="77777777" w:rsidR="003A6377" w:rsidRPr="007D7B2A" w:rsidRDefault="003A6377" w:rsidP="003A6377">
      <w:pPr>
        <w:pStyle w:val="PlainText"/>
        <w:spacing w:before="62" w:line="276" w:lineRule="auto"/>
        <w:rPr>
          <w:rFonts w:ascii="Arial" w:eastAsiaTheme="minorEastAsia" w:hAnsi="Arial" w:cs="Arial"/>
          <w:szCs w:val="22"/>
          <w:lang w:val="en-US"/>
        </w:rPr>
      </w:pPr>
      <w:r w:rsidRPr="007D7B2A">
        <w:rPr>
          <w:rFonts w:ascii="Arial" w:eastAsiaTheme="minorEastAsia" w:hAnsi="Arial" w:cs="Arial"/>
          <w:i/>
          <w:szCs w:val="22"/>
          <w:lang w:val="en-US"/>
        </w:rPr>
        <w:t>Focus capabilities</w:t>
      </w:r>
      <w:r w:rsidRPr="007D7B2A">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3453E856" w14:textId="0B31A591" w:rsidR="003A6377" w:rsidRDefault="003A6377" w:rsidP="003A6377">
      <w:pPr>
        <w:pStyle w:val="PlainText"/>
        <w:spacing w:before="62" w:line="276" w:lineRule="auto"/>
        <w:rPr>
          <w:rFonts w:ascii="Arial" w:eastAsiaTheme="minorEastAsia" w:hAnsi="Arial" w:cs="Arial"/>
          <w:szCs w:val="22"/>
          <w:lang w:val="en-US"/>
        </w:rPr>
      </w:pPr>
      <w:r w:rsidRPr="007D7B2A">
        <w:rPr>
          <w:rFonts w:ascii="Arial" w:eastAsiaTheme="minorEastAsia" w:hAnsi="Arial" w:cs="Arial"/>
          <w:szCs w:val="22"/>
          <w:lang w:val="en-US"/>
        </w:rPr>
        <w:t xml:space="preserve">The focus capabilities for this role are shown below with a brief explanation of what each capability covers and the indicators describing the types of </w:t>
      </w:r>
      <w:proofErr w:type="spellStart"/>
      <w:r w:rsidRPr="007D7B2A">
        <w:rPr>
          <w:rFonts w:ascii="Arial" w:eastAsiaTheme="minorEastAsia" w:hAnsi="Arial" w:cs="Arial"/>
          <w:szCs w:val="22"/>
          <w:lang w:val="en-US"/>
        </w:rPr>
        <w:t>behaviours</w:t>
      </w:r>
      <w:proofErr w:type="spellEnd"/>
      <w:r w:rsidRPr="007D7B2A">
        <w:rPr>
          <w:rFonts w:ascii="Arial" w:eastAsiaTheme="minorEastAsia" w:hAnsi="Arial" w:cs="Arial"/>
          <w:szCs w:val="22"/>
          <w:lang w:val="en-US"/>
        </w:rPr>
        <w:t xml:space="preserve"> expected at each level.</w:t>
      </w:r>
    </w:p>
    <w:p w14:paraId="0AA9521E" w14:textId="7C0A3663" w:rsidR="008A3BCC" w:rsidRDefault="008A3BCC" w:rsidP="003A6377">
      <w:pPr>
        <w:pStyle w:val="PlainText"/>
        <w:spacing w:before="62" w:line="276" w:lineRule="auto"/>
        <w:rPr>
          <w:rFonts w:ascii="Arial" w:eastAsiaTheme="minorEastAsia" w:hAnsi="Arial" w:cs="Arial"/>
          <w:szCs w:val="22"/>
          <w:lang w:val="en-US"/>
        </w:rPr>
      </w:pPr>
    </w:p>
    <w:p w14:paraId="2ED5682E" w14:textId="21391B27" w:rsidR="008A3BCC" w:rsidRDefault="008A3BCC" w:rsidP="003A6377">
      <w:pPr>
        <w:pStyle w:val="PlainText"/>
        <w:spacing w:before="62" w:line="276" w:lineRule="auto"/>
        <w:rPr>
          <w:rFonts w:ascii="Arial" w:eastAsiaTheme="minorEastAsia" w:hAnsi="Arial" w:cs="Arial"/>
          <w:szCs w:val="22"/>
          <w:lang w:val="en-US"/>
        </w:rPr>
      </w:pPr>
    </w:p>
    <w:p w14:paraId="26D37AA4" w14:textId="494FA4CF" w:rsidR="008A3BCC" w:rsidRDefault="008A3BCC" w:rsidP="003A6377">
      <w:pPr>
        <w:pStyle w:val="PlainText"/>
        <w:spacing w:before="62" w:line="276" w:lineRule="auto"/>
        <w:rPr>
          <w:rFonts w:ascii="Arial" w:eastAsiaTheme="minorEastAsia" w:hAnsi="Arial" w:cs="Arial"/>
          <w:szCs w:val="22"/>
          <w:lang w:val="en-US"/>
        </w:rPr>
      </w:pPr>
    </w:p>
    <w:p w14:paraId="0F727451" w14:textId="40623EAC" w:rsidR="008A3BCC" w:rsidRDefault="008A3BCC" w:rsidP="003A6377">
      <w:pPr>
        <w:pStyle w:val="PlainText"/>
        <w:spacing w:before="62" w:line="276" w:lineRule="auto"/>
        <w:rPr>
          <w:rFonts w:ascii="Arial" w:eastAsiaTheme="minorEastAsia" w:hAnsi="Arial" w:cs="Arial"/>
          <w:szCs w:val="22"/>
          <w:lang w:val="en-US"/>
        </w:rPr>
      </w:pPr>
    </w:p>
    <w:p w14:paraId="140B26DA" w14:textId="4986BA72" w:rsidR="008A3BCC" w:rsidRDefault="008A3BCC" w:rsidP="003A6377">
      <w:pPr>
        <w:pStyle w:val="PlainText"/>
        <w:spacing w:before="62" w:line="276" w:lineRule="auto"/>
        <w:rPr>
          <w:rFonts w:ascii="Arial" w:eastAsiaTheme="minorEastAsia" w:hAnsi="Arial" w:cs="Arial"/>
          <w:szCs w:val="22"/>
          <w:lang w:val="en-US"/>
        </w:rPr>
      </w:pPr>
    </w:p>
    <w:p w14:paraId="50AB77D0" w14:textId="5CEA0BF6" w:rsidR="00ED4F83" w:rsidRDefault="00ED4F83" w:rsidP="003A6377">
      <w:pPr>
        <w:pStyle w:val="PlainText"/>
        <w:spacing w:before="62" w:line="276" w:lineRule="auto"/>
        <w:rPr>
          <w:rFonts w:ascii="Arial" w:eastAsiaTheme="minorEastAsia" w:hAnsi="Arial" w:cs="Arial"/>
          <w:szCs w:val="22"/>
          <w:lang w:val="en-US"/>
        </w:rPr>
      </w:pPr>
    </w:p>
    <w:p w14:paraId="19D9D06F" w14:textId="6DAD87A6" w:rsidR="00ED4F83" w:rsidRDefault="00ED4F83" w:rsidP="003A6377">
      <w:pPr>
        <w:pStyle w:val="PlainText"/>
        <w:spacing w:before="62" w:line="276" w:lineRule="auto"/>
        <w:rPr>
          <w:rFonts w:ascii="Arial" w:eastAsiaTheme="minorEastAsia" w:hAnsi="Arial" w:cs="Arial"/>
          <w:szCs w:val="22"/>
          <w:lang w:val="en-US"/>
        </w:rPr>
      </w:pPr>
    </w:p>
    <w:p w14:paraId="3539D913" w14:textId="77777777" w:rsidR="00ED4F83" w:rsidRDefault="00ED4F83" w:rsidP="003A6377">
      <w:pPr>
        <w:pStyle w:val="PlainText"/>
        <w:spacing w:before="62" w:line="276" w:lineRule="auto"/>
        <w:rPr>
          <w:rFonts w:ascii="Arial" w:eastAsiaTheme="minorEastAsia" w:hAnsi="Arial" w:cs="Arial"/>
          <w:szCs w:val="22"/>
          <w:lang w:val="en-US"/>
        </w:rPr>
      </w:pPr>
    </w:p>
    <w:p w14:paraId="1ABD8E70" w14:textId="15CCBE6B" w:rsidR="008A3BCC" w:rsidRDefault="008A3BCC" w:rsidP="003A6377">
      <w:pPr>
        <w:pStyle w:val="PlainText"/>
        <w:spacing w:before="62" w:line="276" w:lineRule="auto"/>
        <w:rPr>
          <w:rFonts w:ascii="Arial" w:eastAsiaTheme="minorEastAsia" w:hAnsi="Arial" w:cs="Arial"/>
          <w:szCs w:val="22"/>
          <w:lang w:val="en-US"/>
        </w:rPr>
      </w:pPr>
    </w:p>
    <w:p w14:paraId="6AB1D2E7" w14:textId="34A19733" w:rsidR="008A3BCC" w:rsidRDefault="008A3BCC" w:rsidP="003A6377">
      <w:pPr>
        <w:pStyle w:val="PlainText"/>
        <w:spacing w:before="62" w:line="276" w:lineRule="auto"/>
        <w:rPr>
          <w:rFonts w:ascii="Arial" w:eastAsiaTheme="minorEastAsia" w:hAnsi="Arial" w:cs="Arial"/>
          <w:szCs w:val="22"/>
          <w:lang w:val="en-US"/>
        </w:rPr>
      </w:pPr>
    </w:p>
    <w:p w14:paraId="363252B3" w14:textId="77777777" w:rsidR="008A3BCC" w:rsidRPr="007D7B2A" w:rsidRDefault="008A3BCC" w:rsidP="003A6377">
      <w:pPr>
        <w:pStyle w:val="PlainText"/>
        <w:spacing w:before="62" w:line="276" w:lineRule="auto"/>
        <w:rPr>
          <w:rFonts w:ascii="Arial" w:eastAsiaTheme="minorEastAsia" w:hAnsi="Arial" w:cs="Arial"/>
          <w:szCs w:val="22"/>
          <w:lang w:val="en-US"/>
        </w:rPr>
      </w:pPr>
    </w:p>
    <w:p w14:paraId="1204F2CD" w14:textId="77777777" w:rsidR="003A6377" w:rsidRPr="008A3BCC" w:rsidRDefault="003A6377" w:rsidP="003A6377">
      <w:pPr>
        <w:pStyle w:val="Heading2"/>
        <w:rPr>
          <w:color w:val="auto"/>
        </w:rPr>
      </w:pPr>
      <w:r w:rsidRPr="008A3BCC">
        <w:rPr>
          <w:color w:val="auto"/>
        </w:rPr>
        <w:lastRenderedPageBreak/>
        <w:t>Focus capabilities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A6377" w:rsidRPr="00A0760A" w14:paraId="038B5047" w14:textId="77777777" w:rsidTr="007D7B2A">
        <w:trPr>
          <w:cantSplit/>
        </w:trPr>
        <w:tc>
          <w:tcPr>
            <w:tcW w:w="1385" w:type="dxa"/>
            <w:shd w:val="clear" w:color="auto" w:fill="BFBFBF" w:themeFill="background1" w:themeFillShade="BF"/>
            <w:vAlign w:val="center"/>
          </w:tcPr>
          <w:p w14:paraId="62E367DB" w14:textId="77777777" w:rsidR="003A6377" w:rsidRPr="00A0760A" w:rsidRDefault="003A6377" w:rsidP="007D7B2A">
            <w:pPr>
              <w:rPr>
                <w:rFonts w:cs="Arial"/>
                <w:sz w:val="20"/>
              </w:rPr>
            </w:pPr>
            <w:r w:rsidRPr="00A0760A">
              <w:rPr>
                <w:rFonts w:cs="Arial"/>
                <w:b/>
                <w:sz w:val="20"/>
              </w:rPr>
              <w:t>Capability group/sets</w:t>
            </w:r>
          </w:p>
        </w:tc>
        <w:tc>
          <w:tcPr>
            <w:tcW w:w="2726" w:type="dxa"/>
            <w:shd w:val="clear" w:color="auto" w:fill="BFBFBF" w:themeFill="background1" w:themeFillShade="BF"/>
          </w:tcPr>
          <w:p w14:paraId="49141E0A" w14:textId="77777777" w:rsidR="003A6377" w:rsidRPr="00A0760A" w:rsidRDefault="003A6377" w:rsidP="007D7B2A">
            <w:pPr>
              <w:rPr>
                <w:rFonts w:cs="Arial"/>
                <w:sz w:val="20"/>
              </w:rPr>
            </w:pPr>
            <w:r w:rsidRPr="00A0760A">
              <w:rPr>
                <w:rFonts w:cs="Arial"/>
                <w:b/>
                <w:sz w:val="20"/>
              </w:rPr>
              <w:t>Capability name</w:t>
            </w:r>
          </w:p>
        </w:tc>
        <w:tc>
          <w:tcPr>
            <w:tcW w:w="4709" w:type="dxa"/>
            <w:shd w:val="clear" w:color="auto" w:fill="BFBFBF" w:themeFill="background1" w:themeFillShade="BF"/>
          </w:tcPr>
          <w:p w14:paraId="23D14B8A" w14:textId="77777777" w:rsidR="003A6377" w:rsidRPr="00A0760A" w:rsidRDefault="003A6377" w:rsidP="007D7B2A">
            <w:pPr>
              <w:rPr>
                <w:rFonts w:cs="Arial"/>
                <w:sz w:val="20"/>
              </w:rPr>
            </w:pPr>
            <w:proofErr w:type="spellStart"/>
            <w:r w:rsidRPr="00A0760A">
              <w:rPr>
                <w:rFonts w:cs="Arial"/>
                <w:b/>
                <w:sz w:val="20"/>
              </w:rPr>
              <w:t>Behavioural</w:t>
            </w:r>
            <w:proofErr w:type="spellEnd"/>
            <w:r w:rsidRPr="00A0760A">
              <w:rPr>
                <w:rFonts w:cs="Arial"/>
                <w:b/>
                <w:sz w:val="20"/>
              </w:rPr>
              <w:t xml:space="preserve"> indicators</w:t>
            </w:r>
          </w:p>
        </w:tc>
        <w:tc>
          <w:tcPr>
            <w:tcW w:w="1668" w:type="dxa"/>
            <w:shd w:val="clear" w:color="auto" w:fill="BFBFBF" w:themeFill="background1" w:themeFillShade="BF"/>
          </w:tcPr>
          <w:p w14:paraId="2F4BA1CF" w14:textId="77777777" w:rsidR="003A6377" w:rsidRPr="00A0760A" w:rsidRDefault="003A6377" w:rsidP="007D7B2A">
            <w:pPr>
              <w:rPr>
                <w:rFonts w:cs="Arial"/>
                <w:b/>
                <w:bCs/>
                <w:sz w:val="20"/>
              </w:rPr>
            </w:pPr>
            <w:r w:rsidRPr="00A0760A">
              <w:rPr>
                <w:rFonts w:cs="Arial"/>
                <w:b/>
                <w:bCs/>
                <w:sz w:val="20"/>
              </w:rPr>
              <w:t>Level</w:t>
            </w:r>
          </w:p>
        </w:tc>
      </w:tr>
      <w:tr w:rsidR="003A6377" w:rsidRPr="00A0760A" w14:paraId="613CCA7E" w14:textId="77777777" w:rsidTr="007D7B2A">
        <w:trPr>
          <w:cantSplit/>
        </w:trPr>
        <w:tc>
          <w:tcPr>
            <w:tcW w:w="1385" w:type="dxa"/>
          </w:tcPr>
          <w:p w14:paraId="1293719D"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75625469" wp14:editId="584D3B67">
                  <wp:extent cx="749300" cy="749300"/>
                  <wp:effectExtent l="0" t="0" r="0" b="0"/>
                  <wp:docPr id="378"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D7A41E4" w14:textId="77777777" w:rsidR="003A6377" w:rsidRPr="00A0760A" w:rsidRDefault="003A6377" w:rsidP="007D7B2A">
            <w:pPr>
              <w:rPr>
                <w:rFonts w:cs="Arial"/>
                <w:color w:val="000000"/>
                <w:sz w:val="20"/>
              </w:rPr>
            </w:pPr>
            <w:r w:rsidRPr="00A0760A">
              <w:rPr>
                <w:rFonts w:cs="Arial"/>
                <w:b/>
                <w:bCs/>
                <w:color w:val="000000"/>
                <w:sz w:val="20"/>
              </w:rPr>
              <w:t>Act with Integrity</w:t>
            </w:r>
          </w:p>
          <w:p w14:paraId="163EA7F7" w14:textId="77777777" w:rsidR="003A6377" w:rsidRPr="00A0760A" w:rsidRDefault="003A6377" w:rsidP="007D7B2A">
            <w:pPr>
              <w:rPr>
                <w:rFonts w:cs="Arial"/>
                <w:color w:val="000000"/>
                <w:sz w:val="20"/>
              </w:rPr>
            </w:pPr>
            <w:r w:rsidRPr="00A0760A">
              <w:rPr>
                <w:rFonts w:cs="Arial"/>
                <w:color w:val="000000"/>
                <w:sz w:val="20"/>
              </w:rPr>
              <w:t>Be ethical and professional, and uphold and promote the public sector values</w:t>
            </w:r>
          </w:p>
        </w:tc>
        <w:tc>
          <w:tcPr>
            <w:tcW w:w="4709" w:type="dxa"/>
          </w:tcPr>
          <w:p w14:paraId="7CBE63ED" w14:textId="77777777" w:rsidR="003A6377" w:rsidRPr="00A0760A" w:rsidRDefault="003A6377" w:rsidP="007D7B2A">
            <w:pPr>
              <w:pStyle w:val="TableBullet"/>
              <w:rPr>
                <w:rFonts w:cs="Arial"/>
              </w:rPr>
            </w:pPr>
            <w:r w:rsidRPr="00A0760A">
              <w:rPr>
                <w:rFonts w:cs="Arial"/>
              </w:rPr>
              <w:t xml:space="preserve">Represent the organisation in an honest, </w:t>
            </w:r>
            <w:proofErr w:type="gramStart"/>
            <w:r w:rsidRPr="00A0760A">
              <w:rPr>
                <w:rFonts w:cs="Arial"/>
              </w:rPr>
              <w:t>ethical</w:t>
            </w:r>
            <w:proofErr w:type="gramEnd"/>
            <w:r w:rsidRPr="00A0760A">
              <w:rPr>
                <w:rFonts w:cs="Arial"/>
              </w:rPr>
              <w:t xml:space="preserve"> and professional way</w:t>
            </w:r>
          </w:p>
          <w:p w14:paraId="2F0C79F4" w14:textId="77777777" w:rsidR="003A6377" w:rsidRPr="00A0760A" w:rsidRDefault="003A6377" w:rsidP="007D7B2A">
            <w:pPr>
              <w:pStyle w:val="TableBullet"/>
              <w:rPr>
                <w:rFonts w:cs="Arial"/>
              </w:rPr>
            </w:pPr>
            <w:r w:rsidRPr="00A0760A">
              <w:rPr>
                <w:rFonts w:cs="Arial"/>
              </w:rPr>
              <w:t>Support a culture of integrity and professionalism</w:t>
            </w:r>
          </w:p>
          <w:p w14:paraId="0CAF4D0D" w14:textId="77777777" w:rsidR="003A6377" w:rsidRPr="00A0760A" w:rsidRDefault="003A6377" w:rsidP="007D7B2A">
            <w:pPr>
              <w:pStyle w:val="TableBullet"/>
              <w:rPr>
                <w:rFonts w:cs="Arial"/>
              </w:rPr>
            </w:pPr>
            <w:r w:rsidRPr="00A0760A">
              <w:rPr>
                <w:rFonts w:cs="Arial"/>
              </w:rPr>
              <w:t xml:space="preserve">Understand and help others to recognise their obligations to comply with legislation, policies, </w:t>
            </w:r>
            <w:proofErr w:type="gramStart"/>
            <w:r w:rsidRPr="00A0760A">
              <w:rPr>
                <w:rFonts w:cs="Arial"/>
              </w:rPr>
              <w:t>guidelines</w:t>
            </w:r>
            <w:proofErr w:type="gramEnd"/>
            <w:r w:rsidRPr="00A0760A">
              <w:rPr>
                <w:rFonts w:cs="Arial"/>
              </w:rPr>
              <w:t xml:space="preserve"> and codes of conduct</w:t>
            </w:r>
          </w:p>
          <w:p w14:paraId="3C2BA32C" w14:textId="77777777" w:rsidR="003A6377" w:rsidRPr="00A0760A" w:rsidRDefault="003A6377" w:rsidP="007D7B2A">
            <w:pPr>
              <w:pStyle w:val="TableBullet"/>
              <w:rPr>
                <w:rFonts w:cs="Arial"/>
              </w:rPr>
            </w:pPr>
            <w:r w:rsidRPr="00A0760A">
              <w:rPr>
                <w:rFonts w:cs="Arial"/>
              </w:rPr>
              <w:t>Recognise and report misconduct and illegal and inappropriate behaviour</w:t>
            </w:r>
          </w:p>
          <w:p w14:paraId="711F9258" w14:textId="77777777" w:rsidR="003A6377" w:rsidRPr="00A0760A" w:rsidRDefault="003A6377" w:rsidP="007D7B2A">
            <w:pPr>
              <w:pStyle w:val="TableBullet"/>
              <w:rPr>
                <w:rFonts w:cs="Arial"/>
              </w:rPr>
            </w:pPr>
            <w:r w:rsidRPr="00A0760A">
              <w:rPr>
                <w:rFonts w:cs="Arial"/>
              </w:rPr>
              <w:t>Report and manage apparent conflicts of interest and encourage others to do so</w:t>
            </w:r>
          </w:p>
        </w:tc>
        <w:tc>
          <w:tcPr>
            <w:tcW w:w="1668" w:type="dxa"/>
          </w:tcPr>
          <w:p w14:paraId="633E1F1F" w14:textId="77777777" w:rsidR="003A6377" w:rsidRPr="00A0760A" w:rsidRDefault="003A6377" w:rsidP="007D7B2A">
            <w:pPr>
              <w:pStyle w:val="TableText"/>
              <w:rPr>
                <w:rFonts w:cs="Arial"/>
              </w:rPr>
            </w:pPr>
            <w:r w:rsidRPr="00A0760A">
              <w:rPr>
                <w:rFonts w:cs="Arial"/>
              </w:rPr>
              <w:t>Intermediate</w:t>
            </w:r>
          </w:p>
        </w:tc>
      </w:tr>
      <w:tr w:rsidR="003A6377" w:rsidRPr="00A0760A" w14:paraId="5235F8A4" w14:textId="77777777" w:rsidTr="007D7B2A">
        <w:trPr>
          <w:cantSplit/>
        </w:trPr>
        <w:tc>
          <w:tcPr>
            <w:tcW w:w="1385" w:type="dxa"/>
          </w:tcPr>
          <w:p w14:paraId="743122A1"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25ECB09E" wp14:editId="04405AD8">
                  <wp:extent cx="749300" cy="749300"/>
                  <wp:effectExtent l="0" t="0" r="0" b="0"/>
                  <wp:docPr id="201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C0A790B" w14:textId="77777777" w:rsidR="003A6377" w:rsidRPr="00A0760A" w:rsidRDefault="003A6377" w:rsidP="007D7B2A">
            <w:pPr>
              <w:rPr>
                <w:rFonts w:cs="Arial"/>
                <w:color w:val="000000"/>
                <w:sz w:val="20"/>
              </w:rPr>
            </w:pPr>
            <w:r w:rsidRPr="00A0760A">
              <w:rPr>
                <w:rFonts w:cs="Arial"/>
                <w:b/>
                <w:bCs/>
                <w:color w:val="000000"/>
                <w:sz w:val="20"/>
              </w:rPr>
              <w:t>Manage Self</w:t>
            </w:r>
          </w:p>
          <w:p w14:paraId="58D26CE4" w14:textId="77777777" w:rsidR="003A6377" w:rsidRPr="00A0760A" w:rsidRDefault="003A6377" w:rsidP="007D7B2A">
            <w:pPr>
              <w:rPr>
                <w:rFonts w:cs="Arial"/>
                <w:color w:val="000000"/>
                <w:sz w:val="20"/>
              </w:rPr>
            </w:pPr>
            <w:r w:rsidRPr="00A0760A">
              <w:rPr>
                <w:rFonts w:cs="Arial"/>
                <w:color w:val="000000"/>
                <w:sz w:val="20"/>
              </w:rPr>
              <w:t>Show drive and motivation, an ability to self-reflect and a commitment to learning</w:t>
            </w:r>
          </w:p>
        </w:tc>
        <w:tc>
          <w:tcPr>
            <w:tcW w:w="4709" w:type="dxa"/>
          </w:tcPr>
          <w:p w14:paraId="1BA85520" w14:textId="77777777" w:rsidR="003A6377" w:rsidRPr="00A0760A" w:rsidRDefault="003A6377" w:rsidP="007D7B2A">
            <w:pPr>
              <w:pStyle w:val="TableBullet"/>
              <w:rPr>
                <w:rFonts w:cs="Arial"/>
              </w:rPr>
            </w:pPr>
            <w:r w:rsidRPr="00A0760A">
              <w:rPr>
                <w:rFonts w:cs="Arial"/>
              </w:rPr>
              <w:t>Keep up to date with relevant contemporary knowledge and practices</w:t>
            </w:r>
          </w:p>
          <w:p w14:paraId="23D66E7D" w14:textId="77777777" w:rsidR="003A6377" w:rsidRPr="00A0760A" w:rsidRDefault="003A6377" w:rsidP="007D7B2A">
            <w:pPr>
              <w:pStyle w:val="TableBullet"/>
              <w:rPr>
                <w:rFonts w:cs="Arial"/>
              </w:rPr>
            </w:pPr>
            <w:r w:rsidRPr="00A0760A">
              <w:rPr>
                <w:rFonts w:cs="Arial"/>
              </w:rPr>
              <w:t>Look for and take advantage of opportunities to learn new skills and develop strengths</w:t>
            </w:r>
          </w:p>
          <w:p w14:paraId="74597E49" w14:textId="77777777" w:rsidR="003A6377" w:rsidRPr="00A0760A" w:rsidRDefault="003A6377" w:rsidP="007D7B2A">
            <w:pPr>
              <w:pStyle w:val="TableBullet"/>
              <w:rPr>
                <w:rFonts w:cs="Arial"/>
              </w:rPr>
            </w:pPr>
            <w:r w:rsidRPr="00A0760A">
              <w:rPr>
                <w:rFonts w:cs="Arial"/>
              </w:rPr>
              <w:t>Show commitment to achieving challenging goals</w:t>
            </w:r>
          </w:p>
          <w:p w14:paraId="284E9E4C" w14:textId="77777777" w:rsidR="003A6377" w:rsidRPr="00A0760A" w:rsidRDefault="003A6377" w:rsidP="007D7B2A">
            <w:pPr>
              <w:pStyle w:val="TableBullet"/>
              <w:rPr>
                <w:rFonts w:cs="Arial"/>
              </w:rPr>
            </w:pPr>
            <w:r w:rsidRPr="00A0760A">
              <w:rPr>
                <w:rFonts w:cs="Arial"/>
              </w:rPr>
              <w:t>Examine and reflect on own performance</w:t>
            </w:r>
          </w:p>
          <w:p w14:paraId="6B1B931D" w14:textId="77777777" w:rsidR="003A6377" w:rsidRPr="00A0760A" w:rsidRDefault="003A6377" w:rsidP="007D7B2A">
            <w:pPr>
              <w:pStyle w:val="TableBullet"/>
              <w:rPr>
                <w:rFonts w:cs="Arial"/>
              </w:rPr>
            </w:pPr>
            <w:r w:rsidRPr="00A0760A">
              <w:rPr>
                <w:rFonts w:cs="Arial"/>
              </w:rPr>
              <w:t>Seek and respond positively to constructive feedback and guidance</w:t>
            </w:r>
          </w:p>
          <w:p w14:paraId="1BE7A0A5" w14:textId="77777777" w:rsidR="003A6377" w:rsidRPr="00A0760A" w:rsidRDefault="003A6377" w:rsidP="007D7B2A">
            <w:pPr>
              <w:pStyle w:val="TableBullet"/>
              <w:rPr>
                <w:rFonts w:cs="Arial"/>
              </w:rPr>
            </w:pPr>
            <w:r w:rsidRPr="00A0760A">
              <w:rPr>
                <w:rFonts w:cs="Arial"/>
              </w:rPr>
              <w:t>Demonstrate and maintain a high level of personal motivation</w:t>
            </w:r>
          </w:p>
        </w:tc>
        <w:tc>
          <w:tcPr>
            <w:tcW w:w="1668" w:type="dxa"/>
          </w:tcPr>
          <w:p w14:paraId="200A9D01" w14:textId="77777777" w:rsidR="003A6377" w:rsidRPr="00A0760A" w:rsidRDefault="003A6377" w:rsidP="007D7B2A">
            <w:pPr>
              <w:pStyle w:val="TableText"/>
              <w:rPr>
                <w:rFonts w:cs="Arial"/>
              </w:rPr>
            </w:pPr>
            <w:r w:rsidRPr="00A0760A">
              <w:rPr>
                <w:rFonts w:cs="Arial"/>
              </w:rPr>
              <w:t>Adept</w:t>
            </w:r>
          </w:p>
        </w:tc>
      </w:tr>
      <w:tr w:rsidR="003A6377" w:rsidRPr="00A0760A" w14:paraId="4156FDAC" w14:textId="77777777" w:rsidTr="007D7B2A">
        <w:trPr>
          <w:cantSplit/>
        </w:trPr>
        <w:tc>
          <w:tcPr>
            <w:tcW w:w="1385" w:type="dxa"/>
          </w:tcPr>
          <w:p w14:paraId="7B909E24"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33E9C1D9" wp14:editId="29BE7035">
                  <wp:extent cx="749300" cy="749300"/>
                  <wp:effectExtent l="0" t="0" r="0" b="0"/>
                  <wp:docPr id="8418"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60FC0DD" w14:textId="77777777" w:rsidR="003A6377" w:rsidRPr="00A0760A" w:rsidRDefault="003A6377" w:rsidP="007D7B2A">
            <w:pPr>
              <w:rPr>
                <w:rFonts w:cs="Arial"/>
                <w:color w:val="000000"/>
                <w:sz w:val="20"/>
              </w:rPr>
            </w:pPr>
            <w:r w:rsidRPr="00A0760A">
              <w:rPr>
                <w:rFonts w:cs="Arial"/>
                <w:b/>
                <w:bCs/>
                <w:color w:val="000000"/>
                <w:sz w:val="20"/>
              </w:rPr>
              <w:t>Communicate Effectively</w:t>
            </w:r>
          </w:p>
          <w:p w14:paraId="5566CCCE" w14:textId="77777777" w:rsidR="003A6377" w:rsidRPr="00A0760A" w:rsidRDefault="003A6377" w:rsidP="007D7B2A">
            <w:pPr>
              <w:rPr>
                <w:rFonts w:cs="Arial"/>
                <w:color w:val="000000"/>
                <w:sz w:val="20"/>
              </w:rPr>
            </w:pPr>
            <w:r w:rsidRPr="00A0760A">
              <w:rPr>
                <w:rFonts w:cs="Arial"/>
                <w:color w:val="000000"/>
                <w:sz w:val="20"/>
              </w:rPr>
              <w:t>Communicate clearly, actively listen to others, and respond with understanding and respect</w:t>
            </w:r>
          </w:p>
        </w:tc>
        <w:tc>
          <w:tcPr>
            <w:tcW w:w="4709" w:type="dxa"/>
          </w:tcPr>
          <w:p w14:paraId="63CBD1AD" w14:textId="77777777" w:rsidR="003A6377" w:rsidRPr="00A0760A" w:rsidRDefault="003A6377" w:rsidP="007D7B2A">
            <w:pPr>
              <w:pStyle w:val="TableBullet"/>
              <w:rPr>
                <w:rFonts w:cs="Arial"/>
              </w:rPr>
            </w:pPr>
            <w:r w:rsidRPr="00A0760A">
              <w:rPr>
                <w:rFonts w:cs="Arial"/>
              </w:rPr>
              <w:t>Tailor communication to diverse audiences</w:t>
            </w:r>
          </w:p>
          <w:p w14:paraId="1D37C7B2" w14:textId="77777777" w:rsidR="003A6377" w:rsidRPr="00A0760A" w:rsidRDefault="003A6377" w:rsidP="007D7B2A">
            <w:pPr>
              <w:pStyle w:val="TableBullet"/>
              <w:rPr>
                <w:rFonts w:cs="Arial"/>
              </w:rPr>
            </w:pPr>
            <w:r w:rsidRPr="00A0760A">
              <w:rPr>
                <w:rFonts w:cs="Arial"/>
              </w:rPr>
              <w:t>Clearly explain complex concepts and arguments to individuals and groups</w:t>
            </w:r>
          </w:p>
          <w:p w14:paraId="7FF4B613" w14:textId="77777777" w:rsidR="003A6377" w:rsidRPr="00A0760A" w:rsidRDefault="003A6377" w:rsidP="007D7B2A">
            <w:pPr>
              <w:pStyle w:val="TableBullet"/>
              <w:rPr>
                <w:rFonts w:cs="Arial"/>
              </w:rPr>
            </w:pPr>
            <w:r w:rsidRPr="00A0760A">
              <w:rPr>
                <w:rFonts w:cs="Arial"/>
              </w:rPr>
              <w:t xml:space="preserve">Create opportunities for others to be heard, listen </w:t>
            </w:r>
            <w:proofErr w:type="gramStart"/>
            <w:r w:rsidRPr="00A0760A">
              <w:rPr>
                <w:rFonts w:cs="Arial"/>
              </w:rPr>
              <w:t>attentively</w:t>
            </w:r>
            <w:proofErr w:type="gramEnd"/>
            <w:r w:rsidRPr="00A0760A">
              <w:rPr>
                <w:rFonts w:cs="Arial"/>
              </w:rPr>
              <w:t xml:space="preserve"> and encourage them to express their views</w:t>
            </w:r>
          </w:p>
          <w:p w14:paraId="69FA02DE" w14:textId="77777777" w:rsidR="003A6377" w:rsidRPr="00A0760A" w:rsidRDefault="003A6377" w:rsidP="007D7B2A">
            <w:pPr>
              <w:pStyle w:val="TableBullet"/>
              <w:rPr>
                <w:rFonts w:cs="Arial"/>
              </w:rPr>
            </w:pPr>
            <w:r w:rsidRPr="00A0760A">
              <w:rPr>
                <w:rFonts w:cs="Arial"/>
              </w:rPr>
              <w:t>Share information across teams and units to enable informed decision making</w:t>
            </w:r>
          </w:p>
          <w:p w14:paraId="374CE42D" w14:textId="77777777" w:rsidR="003A6377" w:rsidRPr="00A0760A" w:rsidRDefault="003A6377" w:rsidP="007D7B2A">
            <w:pPr>
              <w:pStyle w:val="TableBullet"/>
              <w:rPr>
                <w:rFonts w:cs="Arial"/>
              </w:rPr>
            </w:pPr>
            <w:r w:rsidRPr="00A0760A">
              <w:rPr>
                <w:rFonts w:cs="Arial"/>
              </w:rPr>
              <w:t>Write fluently in plain English and in a range of styles and formats</w:t>
            </w:r>
          </w:p>
          <w:p w14:paraId="1BDA70E9" w14:textId="77777777" w:rsidR="003A6377" w:rsidRPr="00A0760A" w:rsidRDefault="003A6377" w:rsidP="007D7B2A">
            <w:pPr>
              <w:pStyle w:val="TableBullet"/>
              <w:rPr>
                <w:rFonts w:cs="Arial"/>
              </w:rPr>
            </w:pPr>
            <w:r w:rsidRPr="00A0760A">
              <w:rPr>
                <w:rFonts w:cs="Arial"/>
              </w:rPr>
              <w:t>Use contemporary communication channels to share information, engage and interact with diverse audiences</w:t>
            </w:r>
          </w:p>
        </w:tc>
        <w:tc>
          <w:tcPr>
            <w:tcW w:w="1668" w:type="dxa"/>
          </w:tcPr>
          <w:p w14:paraId="262A56F7" w14:textId="77777777" w:rsidR="003A6377" w:rsidRPr="00A0760A" w:rsidRDefault="003A6377" w:rsidP="007D7B2A">
            <w:pPr>
              <w:pStyle w:val="TableText"/>
              <w:rPr>
                <w:rFonts w:cs="Arial"/>
              </w:rPr>
            </w:pPr>
            <w:r w:rsidRPr="00A0760A">
              <w:rPr>
                <w:rFonts w:cs="Arial"/>
              </w:rPr>
              <w:t>Adept</w:t>
            </w:r>
          </w:p>
        </w:tc>
      </w:tr>
      <w:tr w:rsidR="003A6377" w:rsidRPr="00A0760A" w14:paraId="0BFE5E10" w14:textId="77777777" w:rsidTr="007D7B2A">
        <w:trPr>
          <w:cantSplit/>
        </w:trPr>
        <w:tc>
          <w:tcPr>
            <w:tcW w:w="1385" w:type="dxa"/>
          </w:tcPr>
          <w:p w14:paraId="414E9550" w14:textId="77777777" w:rsidR="003A6377" w:rsidRPr="00A0760A" w:rsidRDefault="003A6377" w:rsidP="007D7B2A">
            <w:pPr>
              <w:jc w:val="center"/>
              <w:rPr>
                <w:rFonts w:cs="Arial"/>
                <w:noProof/>
                <w:sz w:val="20"/>
                <w:lang w:eastAsia="en-AU"/>
              </w:rPr>
            </w:pPr>
            <w:r w:rsidRPr="00A0760A">
              <w:rPr>
                <w:rFonts w:cs="Arial"/>
                <w:noProof/>
                <w:sz w:val="20"/>
                <w:lang w:val="en-AU" w:eastAsia="en-AU"/>
              </w:rPr>
              <w:lastRenderedPageBreak/>
              <w:drawing>
                <wp:inline distT="0" distB="0" distL="0" distR="0" wp14:anchorId="09E37AF2" wp14:editId="76F059A5">
                  <wp:extent cx="749300" cy="749300"/>
                  <wp:effectExtent l="0" t="0" r="0" b="0"/>
                  <wp:docPr id="6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C2F221" w14:textId="77777777" w:rsidR="003A6377" w:rsidRPr="00A0760A" w:rsidRDefault="003A6377" w:rsidP="007D7B2A">
            <w:pPr>
              <w:rPr>
                <w:rFonts w:cs="Arial"/>
                <w:color w:val="000000"/>
                <w:sz w:val="20"/>
              </w:rPr>
            </w:pPr>
            <w:r w:rsidRPr="00A0760A">
              <w:rPr>
                <w:rFonts w:cs="Arial"/>
                <w:b/>
                <w:bCs/>
                <w:color w:val="000000"/>
                <w:sz w:val="20"/>
              </w:rPr>
              <w:t>Commit to Customer Service</w:t>
            </w:r>
          </w:p>
          <w:p w14:paraId="17CFD48D" w14:textId="77777777" w:rsidR="003A6377" w:rsidRPr="00A0760A" w:rsidRDefault="003A6377" w:rsidP="007D7B2A">
            <w:pPr>
              <w:rPr>
                <w:rFonts w:cs="Arial"/>
                <w:color w:val="000000"/>
                <w:sz w:val="20"/>
              </w:rPr>
            </w:pPr>
            <w:r w:rsidRPr="00A0760A">
              <w:rPr>
                <w:rFonts w:cs="Arial"/>
                <w:color w:val="000000"/>
                <w:sz w:val="20"/>
              </w:rPr>
              <w:t xml:space="preserve">Provide customer-focused services in line with public sector and </w:t>
            </w:r>
            <w:proofErr w:type="spellStart"/>
            <w:r w:rsidRPr="00A0760A">
              <w:rPr>
                <w:rFonts w:cs="Arial"/>
                <w:color w:val="000000"/>
                <w:sz w:val="20"/>
              </w:rPr>
              <w:t>organisational</w:t>
            </w:r>
            <w:proofErr w:type="spellEnd"/>
            <w:r w:rsidRPr="00A0760A">
              <w:rPr>
                <w:rFonts w:cs="Arial"/>
                <w:color w:val="000000"/>
                <w:sz w:val="20"/>
              </w:rPr>
              <w:t xml:space="preserve"> objectives</w:t>
            </w:r>
          </w:p>
        </w:tc>
        <w:tc>
          <w:tcPr>
            <w:tcW w:w="4709" w:type="dxa"/>
          </w:tcPr>
          <w:p w14:paraId="1B19E2BE" w14:textId="77777777" w:rsidR="003A6377" w:rsidRPr="00A0760A" w:rsidRDefault="003A6377" w:rsidP="007D7B2A">
            <w:pPr>
              <w:pStyle w:val="TableBullet"/>
              <w:rPr>
                <w:rFonts w:cs="Arial"/>
              </w:rPr>
            </w:pPr>
            <w:r w:rsidRPr="00A0760A">
              <w:rPr>
                <w:rFonts w:cs="Arial"/>
              </w:rPr>
              <w:t>Focus on providing a positive customer experience</w:t>
            </w:r>
          </w:p>
          <w:p w14:paraId="4B1C4B5F" w14:textId="77777777" w:rsidR="003A6377" w:rsidRPr="00A0760A" w:rsidRDefault="003A6377" w:rsidP="007D7B2A">
            <w:pPr>
              <w:pStyle w:val="TableBullet"/>
              <w:rPr>
                <w:rFonts w:cs="Arial"/>
              </w:rPr>
            </w:pPr>
            <w:r w:rsidRPr="00A0760A">
              <w:rPr>
                <w:rFonts w:cs="Arial"/>
              </w:rPr>
              <w:t>Support a customer-focused culture in the organisation</w:t>
            </w:r>
          </w:p>
          <w:p w14:paraId="178445C5" w14:textId="77777777" w:rsidR="003A6377" w:rsidRPr="00A0760A" w:rsidRDefault="003A6377" w:rsidP="007D7B2A">
            <w:pPr>
              <w:pStyle w:val="TableBullet"/>
              <w:rPr>
                <w:rFonts w:cs="Arial"/>
              </w:rPr>
            </w:pPr>
            <w:r w:rsidRPr="00A0760A">
              <w:rPr>
                <w:rFonts w:cs="Arial"/>
              </w:rPr>
              <w:t>Demonstrate a thorough knowledge of the services provided and relay this knowledge to customers</w:t>
            </w:r>
          </w:p>
          <w:p w14:paraId="48754A44" w14:textId="77777777" w:rsidR="003A6377" w:rsidRPr="00A0760A" w:rsidRDefault="003A6377" w:rsidP="007D7B2A">
            <w:pPr>
              <w:pStyle w:val="TableBullet"/>
              <w:rPr>
                <w:rFonts w:cs="Arial"/>
              </w:rPr>
            </w:pPr>
            <w:r w:rsidRPr="00A0760A">
              <w:rPr>
                <w:rFonts w:cs="Arial"/>
              </w:rPr>
              <w:t>Identify and respond quickly to customer needs</w:t>
            </w:r>
          </w:p>
          <w:p w14:paraId="56AEF947" w14:textId="77777777" w:rsidR="003A6377" w:rsidRPr="00A0760A" w:rsidRDefault="003A6377" w:rsidP="007D7B2A">
            <w:pPr>
              <w:pStyle w:val="TableBullet"/>
              <w:rPr>
                <w:rFonts w:cs="Arial"/>
              </w:rPr>
            </w:pPr>
            <w:r w:rsidRPr="00A0760A">
              <w:rPr>
                <w:rFonts w:cs="Arial"/>
              </w:rPr>
              <w:t>Consider customer service requirements and develop solutions to meet needs</w:t>
            </w:r>
          </w:p>
          <w:p w14:paraId="119E0C30" w14:textId="77777777" w:rsidR="003A6377" w:rsidRPr="00A0760A" w:rsidRDefault="003A6377" w:rsidP="007D7B2A">
            <w:pPr>
              <w:pStyle w:val="TableBullet"/>
              <w:rPr>
                <w:rFonts w:cs="Arial"/>
              </w:rPr>
            </w:pPr>
            <w:r w:rsidRPr="00A0760A">
              <w:rPr>
                <w:rFonts w:cs="Arial"/>
              </w:rPr>
              <w:t>Resolve complex customer issues and needs</w:t>
            </w:r>
          </w:p>
          <w:p w14:paraId="7746366C" w14:textId="77777777" w:rsidR="003A6377" w:rsidRPr="00A0760A" w:rsidRDefault="003A6377" w:rsidP="007D7B2A">
            <w:pPr>
              <w:pStyle w:val="TableBullet"/>
              <w:rPr>
                <w:rFonts w:cs="Arial"/>
              </w:rPr>
            </w:pPr>
            <w:r w:rsidRPr="00A0760A">
              <w:rPr>
                <w:rFonts w:cs="Arial"/>
              </w:rPr>
              <w:t>Cooperate across work areas to improve outcomes for customers</w:t>
            </w:r>
          </w:p>
        </w:tc>
        <w:tc>
          <w:tcPr>
            <w:tcW w:w="1668" w:type="dxa"/>
          </w:tcPr>
          <w:p w14:paraId="5BA2B4C9" w14:textId="77777777" w:rsidR="003A6377" w:rsidRPr="00A0760A" w:rsidRDefault="003A6377" w:rsidP="007D7B2A">
            <w:pPr>
              <w:pStyle w:val="TableText"/>
              <w:rPr>
                <w:rFonts w:cs="Arial"/>
              </w:rPr>
            </w:pPr>
            <w:r w:rsidRPr="00A0760A">
              <w:rPr>
                <w:rFonts w:cs="Arial"/>
              </w:rPr>
              <w:t>Intermediate</w:t>
            </w:r>
          </w:p>
        </w:tc>
      </w:tr>
      <w:tr w:rsidR="003A6377" w:rsidRPr="00A0760A" w14:paraId="3D25E84D" w14:textId="77777777" w:rsidTr="007D7B2A">
        <w:trPr>
          <w:cantSplit/>
        </w:trPr>
        <w:tc>
          <w:tcPr>
            <w:tcW w:w="1385" w:type="dxa"/>
          </w:tcPr>
          <w:p w14:paraId="386B3386"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7DAC16EF" wp14:editId="4DF8C2BD">
                  <wp:extent cx="749300" cy="749300"/>
                  <wp:effectExtent l="0" t="0" r="0" b="0"/>
                  <wp:docPr id="646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3A47FDD" w14:textId="77777777" w:rsidR="003A6377" w:rsidRPr="00A0760A" w:rsidRDefault="003A6377" w:rsidP="007D7B2A">
            <w:pPr>
              <w:rPr>
                <w:rFonts w:cs="Arial"/>
                <w:color w:val="000000"/>
                <w:sz w:val="20"/>
              </w:rPr>
            </w:pPr>
            <w:r w:rsidRPr="00A0760A">
              <w:rPr>
                <w:rFonts w:cs="Arial"/>
                <w:b/>
                <w:bCs/>
                <w:color w:val="000000"/>
                <w:sz w:val="20"/>
              </w:rPr>
              <w:t>Deliver Results</w:t>
            </w:r>
          </w:p>
          <w:p w14:paraId="58C9EF24" w14:textId="77777777" w:rsidR="003A6377" w:rsidRPr="00A0760A" w:rsidRDefault="003A6377" w:rsidP="007D7B2A">
            <w:pPr>
              <w:rPr>
                <w:rFonts w:cs="Arial"/>
                <w:color w:val="000000"/>
                <w:sz w:val="20"/>
              </w:rPr>
            </w:pPr>
            <w:r w:rsidRPr="00A0760A">
              <w:rPr>
                <w:rFonts w:cs="Arial"/>
                <w:color w:val="000000"/>
                <w:sz w:val="20"/>
              </w:rPr>
              <w:t>Achieve results through the efficient use of resources and a commitment to quality outcomes</w:t>
            </w:r>
          </w:p>
        </w:tc>
        <w:tc>
          <w:tcPr>
            <w:tcW w:w="4709" w:type="dxa"/>
          </w:tcPr>
          <w:p w14:paraId="55E81836" w14:textId="77777777" w:rsidR="003A6377" w:rsidRPr="00A0760A" w:rsidRDefault="003A6377" w:rsidP="007D7B2A">
            <w:pPr>
              <w:pStyle w:val="TableBullet"/>
              <w:rPr>
                <w:rFonts w:cs="Arial"/>
              </w:rPr>
            </w:pPr>
            <w:r w:rsidRPr="00A0760A">
              <w:rPr>
                <w:rFonts w:cs="Arial"/>
              </w:rPr>
              <w:t>Seek and apply specialist advice when required</w:t>
            </w:r>
          </w:p>
          <w:p w14:paraId="43F5AB2E" w14:textId="77777777" w:rsidR="003A6377" w:rsidRPr="00A0760A" w:rsidRDefault="003A6377" w:rsidP="007D7B2A">
            <w:pPr>
              <w:pStyle w:val="TableBullet"/>
              <w:rPr>
                <w:rFonts w:cs="Arial"/>
              </w:rPr>
            </w:pPr>
            <w:r w:rsidRPr="00A0760A">
              <w:rPr>
                <w:rFonts w:cs="Arial"/>
              </w:rPr>
              <w:t xml:space="preserve">Complete work tasks within set budgets, </w:t>
            </w:r>
            <w:proofErr w:type="gramStart"/>
            <w:r w:rsidRPr="00A0760A">
              <w:rPr>
                <w:rFonts w:cs="Arial"/>
              </w:rPr>
              <w:t>timeframes</w:t>
            </w:r>
            <w:proofErr w:type="gramEnd"/>
            <w:r w:rsidRPr="00A0760A">
              <w:rPr>
                <w:rFonts w:cs="Arial"/>
              </w:rPr>
              <w:t xml:space="preserve"> and standards</w:t>
            </w:r>
          </w:p>
          <w:p w14:paraId="42B4DC34" w14:textId="77777777" w:rsidR="003A6377" w:rsidRPr="00A0760A" w:rsidRDefault="003A6377" w:rsidP="007D7B2A">
            <w:pPr>
              <w:pStyle w:val="TableBullet"/>
              <w:rPr>
                <w:rFonts w:cs="Arial"/>
              </w:rPr>
            </w:pPr>
            <w:r w:rsidRPr="00A0760A">
              <w:rPr>
                <w:rFonts w:cs="Arial"/>
              </w:rPr>
              <w:t>Take the initiative to progress and deliver own work and that of the team or unit</w:t>
            </w:r>
          </w:p>
          <w:p w14:paraId="2F707E39" w14:textId="77777777" w:rsidR="003A6377" w:rsidRPr="00A0760A" w:rsidRDefault="003A6377" w:rsidP="007D7B2A">
            <w:pPr>
              <w:pStyle w:val="TableBullet"/>
              <w:rPr>
                <w:rFonts w:cs="Arial"/>
              </w:rPr>
            </w:pPr>
            <w:r w:rsidRPr="00A0760A">
              <w:rPr>
                <w:rFonts w:cs="Arial"/>
              </w:rPr>
              <w:t>Contribute to allocating responsibilities and resources to ensure the team or unit achieves goals</w:t>
            </w:r>
          </w:p>
          <w:p w14:paraId="09A7278D" w14:textId="77777777" w:rsidR="003A6377" w:rsidRPr="00A0760A" w:rsidRDefault="003A6377" w:rsidP="007D7B2A">
            <w:pPr>
              <w:pStyle w:val="TableBullet"/>
              <w:rPr>
                <w:rFonts w:cs="Arial"/>
              </w:rPr>
            </w:pPr>
            <w:r w:rsidRPr="00A0760A">
              <w:rPr>
                <w:rFonts w:cs="Arial"/>
              </w:rPr>
              <w:t>Identify any barriers to achieving results and resolve these where possible</w:t>
            </w:r>
          </w:p>
          <w:p w14:paraId="6CA513B4" w14:textId="77777777" w:rsidR="003A6377" w:rsidRPr="00A0760A" w:rsidRDefault="003A6377" w:rsidP="007D7B2A">
            <w:pPr>
              <w:pStyle w:val="TableBullet"/>
              <w:rPr>
                <w:rFonts w:cs="Arial"/>
              </w:rPr>
            </w:pPr>
            <w:r w:rsidRPr="00A0760A">
              <w:rPr>
                <w:rFonts w:cs="Arial"/>
              </w:rPr>
              <w:t>Proactively change or adjust plans when needed</w:t>
            </w:r>
          </w:p>
        </w:tc>
        <w:tc>
          <w:tcPr>
            <w:tcW w:w="1668" w:type="dxa"/>
          </w:tcPr>
          <w:p w14:paraId="13F1C52C" w14:textId="77777777" w:rsidR="003A6377" w:rsidRPr="00A0760A" w:rsidRDefault="003A6377" w:rsidP="007D7B2A">
            <w:pPr>
              <w:pStyle w:val="TableText"/>
              <w:rPr>
                <w:rFonts w:cs="Arial"/>
              </w:rPr>
            </w:pPr>
            <w:r w:rsidRPr="00A0760A">
              <w:rPr>
                <w:rFonts w:cs="Arial"/>
              </w:rPr>
              <w:t>Intermediate</w:t>
            </w:r>
          </w:p>
        </w:tc>
      </w:tr>
      <w:tr w:rsidR="003A6377" w:rsidRPr="00A0760A" w14:paraId="0C85BF06" w14:textId="77777777" w:rsidTr="007D7B2A">
        <w:trPr>
          <w:cantSplit/>
        </w:trPr>
        <w:tc>
          <w:tcPr>
            <w:tcW w:w="1385" w:type="dxa"/>
          </w:tcPr>
          <w:p w14:paraId="724D981A"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5B53A67F" wp14:editId="33274E2C">
                  <wp:extent cx="749300" cy="749300"/>
                  <wp:effectExtent l="0" t="0" r="0" b="0"/>
                  <wp:docPr id="288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5D11E40" w14:textId="77777777" w:rsidR="003A6377" w:rsidRPr="00A0760A" w:rsidRDefault="003A6377" w:rsidP="007D7B2A">
            <w:pPr>
              <w:rPr>
                <w:rFonts w:cs="Arial"/>
                <w:color w:val="000000"/>
                <w:sz w:val="20"/>
              </w:rPr>
            </w:pPr>
            <w:r w:rsidRPr="00A0760A">
              <w:rPr>
                <w:rFonts w:cs="Arial"/>
                <w:b/>
                <w:bCs/>
                <w:color w:val="000000"/>
                <w:sz w:val="20"/>
              </w:rPr>
              <w:t>Think and Solve Problems</w:t>
            </w:r>
          </w:p>
          <w:p w14:paraId="62823A04" w14:textId="77777777" w:rsidR="003A6377" w:rsidRPr="00A0760A" w:rsidRDefault="003A6377" w:rsidP="007D7B2A">
            <w:pPr>
              <w:rPr>
                <w:rFonts w:cs="Arial"/>
                <w:color w:val="000000"/>
                <w:sz w:val="20"/>
              </w:rPr>
            </w:pPr>
            <w:r w:rsidRPr="00A0760A">
              <w:rPr>
                <w:rFonts w:cs="Arial"/>
                <w:color w:val="000000"/>
                <w:sz w:val="20"/>
              </w:rPr>
              <w:t xml:space="preserve">Think, </w:t>
            </w:r>
            <w:proofErr w:type="spellStart"/>
            <w:proofErr w:type="gramStart"/>
            <w:r w:rsidRPr="00A0760A">
              <w:rPr>
                <w:rFonts w:cs="Arial"/>
                <w:color w:val="000000"/>
                <w:sz w:val="20"/>
              </w:rPr>
              <w:t>analyse</w:t>
            </w:r>
            <w:proofErr w:type="spellEnd"/>
            <w:proofErr w:type="gramEnd"/>
            <w:r w:rsidRPr="00A0760A">
              <w:rPr>
                <w:rFonts w:cs="Arial"/>
                <w:color w:val="000000"/>
                <w:sz w:val="20"/>
              </w:rPr>
              <w:t xml:space="preserve"> and consider the broader context to develop practical solutions</w:t>
            </w:r>
          </w:p>
        </w:tc>
        <w:tc>
          <w:tcPr>
            <w:tcW w:w="4709" w:type="dxa"/>
          </w:tcPr>
          <w:p w14:paraId="38F89135" w14:textId="77777777" w:rsidR="003A6377" w:rsidRPr="00A0760A" w:rsidRDefault="003A6377" w:rsidP="007D7B2A">
            <w:pPr>
              <w:pStyle w:val="TableBullet"/>
              <w:rPr>
                <w:rFonts w:cs="Arial"/>
              </w:rPr>
            </w:pPr>
            <w:r w:rsidRPr="00A0760A">
              <w:rPr>
                <w:rFonts w:cs="Arial"/>
              </w:rPr>
              <w:t>Identify the facts and type of data needed to understand a problem or explore an opportunity</w:t>
            </w:r>
          </w:p>
          <w:p w14:paraId="32E76B5B" w14:textId="77777777" w:rsidR="003A6377" w:rsidRPr="00A0760A" w:rsidRDefault="003A6377" w:rsidP="007D7B2A">
            <w:pPr>
              <w:pStyle w:val="TableBullet"/>
              <w:rPr>
                <w:rFonts w:cs="Arial"/>
              </w:rPr>
            </w:pPr>
            <w:r w:rsidRPr="00A0760A">
              <w:rPr>
                <w:rFonts w:cs="Arial"/>
              </w:rPr>
              <w:t>Research and analyse information to make recommendations based on relevant evidence</w:t>
            </w:r>
          </w:p>
          <w:p w14:paraId="730E5860" w14:textId="77777777" w:rsidR="003A6377" w:rsidRPr="00A0760A" w:rsidRDefault="003A6377" w:rsidP="007D7B2A">
            <w:pPr>
              <w:pStyle w:val="TableBullet"/>
              <w:rPr>
                <w:rFonts w:cs="Arial"/>
              </w:rPr>
            </w:pPr>
            <w:r w:rsidRPr="00A0760A">
              <w:rPr>
                <w:rFonts w:cs="Arial"/>
              </w:rPr>
              <w:t>Identify issues that may hinder the completion of tasks and find appropriate solutions</w:t>
            </w:r>
          </w:p>
          <w:p w14:paraId="08613E4F" w14:textId="77777777" w:rsidR="003A6377" w:rsidRPr="00A0760A" w:rsidRDefault="003A6377" w:rsidP="007D7B2A">
            <w:pPr>
              <w:pStyle w:val="TableBullet"/>
              <w:rPr>
                <w:rFonts w:cs="Arial"/>
              </w:rPr>
            </w:pPr>
            <w:r w:rsidRPr="00A0760A">
              <w:rPr>
                <w:rFonts w:cs="Arial"/>
              </w:rPr>
              <w:t>Be willing to seek input from others and share own ideas to achieve best outcomes</w:t>
            </w:r>
          </w:p>
          <w:p w14:paraId="15A011AD" w14:textId="77777777" w:rsidR="003A6377" w:rsidRPr="00A0760A" w:rsidRDefault="003A6377" w:rsidP="007D7B2A">
            <w:pPr>
              <w:pStyle w:val="TableBullet"/>
              <w:rPr>
                <w:rFonts w:cs="Arial"/>
              </w:rPr>
            </w:pPr>
            <w:r w:rsidRPr="00A0760A">
              <w:rPr>
                <w:rFonts w:cs="Arial"/>
              </w:rPr>
              <w:t>Generate ideas and identify ways to improve systems and processes to meet user needs</w:t>
            </w:r>
          </w:p>
        </w:tc>
        <w:tc>
          <w:tcPr>
            <w:tcW w:w="1668" w:type="dxa"/>
          </w:tcPr>
          <w:p w14:paraId="38D2DD6F" w14:textId="77777777" w:rsidR="003A6377" w:rsidRPr="00A0760A" w:rsidRDefault="003A6377" w:rsidP="007D7B2A">
            <w:pPr>
              <w:pStyle w:val="TableText"/>
              <w:rPr>
                <w:rFonts w:cs="Arial"/>
              </w:rPr>
            </w:pPr>
            <w:r w:rsidRPr="00A0760A">
              <w:rPr>
                <w:rFonts w:cs="Arial"/>
              </w:rPr>
              <w:t>Intermediate</w:t>
            </w:r>
          </w:p>
        </w:tc>
      </w:tr>
      <w:tr w:rsidR="003A6377" w:rsidRPr="00A0760A" w14:paraId="5CEA3763" w14:textId="77777777" w:rsidTr="007D7B2A">
        <w:trPr>
          <w:cantSplit/>
        </w:trPr>
        <w:tc>
          <w:tcPr>
            <w:tcW w:w="1385" w:type="dxa"/>
          </w:tcPr>
          <w:p w14:paraId="01FDF88A" w14:textId="77777777" w:rsidR="003A6377" w:rsidRPr="00A0760A" w:rsidRDefault="003A6377" w:rsidP="007D7B2A">
            <w:pPr>
              <w:jc w:val="center"/>
              <w:rPr>
                <w:rFonts w:cs="Arial"/>
                <w:noProof/>
                <w:sz w:val="20"/>
                <w:lang w:eastAsia="en-AU"/>
              </w:rPr>
            </w:pPr>
            <w:r w:rsidRPr="00A0760A">
              <w:rPr>
                <w:rFonts w:cs="Arial"/>
                <w:noProof/>
                <w:sz w:val="20"/>
                <w:lang w:val="en-AU" w:eastAsia="en-AU"/>
              </w:rPr>
              <w:drawing>
                <wp:inline distT="0" distB="0" distL="0" distR="0" wp14:anchorId="05EEC761" wp14:editId="34637C1A">
                  <wp:extent cx="749300" cy="749300"/>
                  <wp:effectExtent l="0" t="0" r="0" b="0"/>
                  <wp:docPr id="4518"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73471D2" w14:textId="77777777" w:rsidR="003A6377" w:rsidRPr="00A0760A" w:rsidRDefault="003A6377" w:rsidP="007D7B2A">
            <w:pPr>
              <w:rPr>
                <w:rFonts w:cs="Arial"/>
                <w:color w:val="000000"/>
                <w:sz w:val="20"/>
              </w:rPr>
            </w:pPr>
            <w:r w:rsidRPr="00A0760A">
              <w:rPr>
                <w:rFonts w:cs="Arial"/>
                <w:b/>
                <w:bCs/>
                <w:color w:val="000000"/>
                <w:sz w:val="20"/>
              </w:rPr>
              <w:t>Technology</w:t>
            </w:r>
          </w:p>
          <w:p w14:paraId="01FF34CD" w14:textId="77777777" w:rsidR="003A6377" w:rsidRPr="00A0760A" w:rsidRDefault="003A6377" w:rsidP="007D7B2A">
            <w:pPr>
              <w:rPr>
                <w:rFonts w:cs="Arial"/>
                <w:color w:val="000000"/>
                <w:sz w:val="20"/>
              </w:rPr>
            </w:pPr>
            <w:r w:rsidRPr="00A0760A">
              <w:rPr>
                <w:rFonts w:cs="Arial"/>
                <w:color w:val="000000"/>
                <w:sz w:val="20"/>
              </w:rPr>
              <w:t xml:space="preserve">Understand and use available technologies to </w:t>
            </w:r>
            <w:proofErr w:type="spellStart"/>
            <w:r w:rsidRPr="00A0760A">
              <w:rPr>
                <w:rFonts w:cs="Arial"/>
                <w:color w:val="000000"/>
                <w:sz w:val="20"/>
              </w:rPr>
              <w:t>maximise</w:t>
            </w:r>
            <w:proofErr w:type="spellEnd"/>
            <w:r w:rsidRPr="00A0760A">
              <w:rPr>
                <w:rFonts w:cs="Arial"/>
                <w:color w:val="000000"/>
                <w:sz w:val="20"/>
              </w:rPr>
              <w:t xml:space="preserve"> efficiencies and effectiveness</w:t>
            </w:r>
          </w:p>
        </w:tc>
        <w:tc>
          <w:tcPr>
            <w:tcW w:w="4709" w:type="dxa"/>
          </w:tcPr>
          <w:p w14:paraId="369946B9" w14:textId="77777777" w:rsidR="003A6377" w:rsidRPr="00A0760A" w:rsidRDefault="003A6377" w:rsidP="007D7B2A">
            <w:pPr>
              <w:pStyle w:val="TableBullet"/>
              <w:rPr>
                <w:rFonts w:cs="Arial"/>
              </w:rPr>
            </w:pPr>
            <w:r w:rsidRPr="00A0760A">
              <w:rPr>
                <w:rFonts w:cs="Arial"/>
              </w:rPr>
              <w:t>Identify opportunities to use a broad range of technologies to collaborate</w:t>
            </w:r>
          </w:p>
          <w:p w14:paraId="313B02E0" w14:textId="77777777" w:rsidR="003A6377" w:rsidRPr="00A0760A" w:rsidRDefault="003A6377" w:rsidP="007D7B2A">
            <w:pPr>
              <w:pStyle w:val="TableBullet"/>
              <w:rPr>
                <w:rFonts w:cs="Arial"/>
              </w:rPr>
            </w:pPr>
            <w:r w:rsidRPr="00A0760A">
              <w:rPr>
                <w:rFonts w:cs="Arial"/>
              </w:rPr>
              <w:t>Monitor compliance with cyber security and the use of technology policies</w:t>
            </w:r>
          </w:p>
          <w:p w14:paraId="3FEA22E4" w14:textId="77777777" w:rsidR="003A6377" w:rsidRPr="00A0760A" w:rsidRDefault="003A6377" w:rsidP="007D7B2A">
            <w:pPr>
              <w:pStyle w:val="TableBullet"/>
              <w:rPr>
                <w:rFonts w:cs="Arial"/>
              </w:rPr>
            </w:pPr>
            <w:r w:rsidRPr="00A0760A">
              <w:rPr>
                <w:rFonts w:cs="Arial"/>
              </w:rPr>
              <w:t>Identify ways to maximise the value of available technology to achieve business strategies and outcomes</w:t>
            </w:r>
          </w:p>
          <w:p w14:paraId="144964AA" w14:textId="77777777" w:rsidR="003A6377" w:rsidRPr="00A0760A" w:rsidRDefault="003A6377" w:rsidP="007D7B2A">
            <w:pPr>
              <w:pStyle w:val="TableBullet"/>
              <w:rPr>
                <w:rFonts w:cs="Arial"/>
              </w:rPr>
            </w:pPr>
            <w:r w:rsidRPr="00A0760A">
              <w:rPr>
                <w:rFonts w:cs="Arial"/>
              </w:rPr>
              <w:t xml:space="preserve">Monitor compliance with the organisation’s records, </w:t>
            </w:r>
            <w:proofErr w:type="gramStart"/>
            <w:r w:rsidRPr="00A0760A">
              <w:rPr>
                <w:rFonts w:cs="Arial"/>
              </w:rPr>
              <w:t>information</w:t>
            </w:r>
            <w:proofErr w:type="gramEnd"/>
            <w:r w:rsidRPr="00A0760A">
              <w:rPr>
                <w:rFonts w:cs="Arial"/>
              </w:rPr>
              <w:t xml:space="preserve"> and knowledge management requirements</w:t>
            </w:r>
          </w:p>
        </w:tc>
        <w:tc>
          <w:tcPr>
            <w:tcW w:w="1668" w:type="dxa"/>
          </w:tcPr>
          <w:p w14:paraId="5EA78D72" w14:textId="77777777" w:rsidR="003A6377" w:rsidRPr="00A0760A" w:rsidRDefault="003A6377" w:rsidP="007D7B2A">
            <w:pPr>
              <w:pStyle w:val="TableText"/>
              <w:rPr>
                <w:rFonts w:cs="Arial"/>
              </w:rPr>
            </w:pPr>
            <w:r w:rsidRPr="00A0760A">
              <w:rPr>
                <w:rFonts w:cs="Arial"/>
              </w:rPr>
              <w:t>Adept</w:t>
            </w:r>
          </w:p>
        </w:tc>
      </w:tr>
      <w:tr w:rsidR="003A6377" w:rsidRPr="00A0760A" w14:paraId="55217242" w14:textId="77777777" w:rsidTr="007D7B2A">
        <w:trPr>
          <w:cantSplit/>
        </w:trPr>
        <w:tc>
          <w:tcPr>
            <w:tcW w:w="1385" w:type="dxa"/>
          </w:tcPr>
          <w:p w14:paraId="205BBD2A" w14:textId="77777777" w:rsidR="003A6377" w:rsidRPr="00A0760A" w:rsidRDefault="003A6377" w:rsidP="007D7B2A">
            <w:pPr>
              <w:jc w:val="center"/>
              <w:rPr>
                <w:rFonts w:cs="Arial"/>
                <w:noProof/>
                <w:sz w:val="20"/>
                <w:lang w:eastAsia="en-AU"/>
              </w:rPr>
            </w:pPr>
            <w:r w:rsidRPr="00A0760A">
              <w:rPr>
                <w:rFonts w:cs="Arial"/>
                <w:noProof/>
                <w:sz w:val="20"/>
                <w:lang w:val="en-AU" w:eastAsia="en-AU"/>
              </w:rPr>
              <w:lastRenderedPageBreak/>
              <w:drawing>
                <wp:inline distT="0" distB="0" distL="0" distR="0" wp14:anchorId="679CBD32" wp14:editId="03131982">
                  <wp:extent cx="749300" cy="749300"/>
                  <wp:effectExtent l="0" t="0" r="0" b="0"/>
                  <wp:docPr id="934"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A74B2D2" w14:textId="77777777" w:rsidR="003A6377" w:rsidRPr="00A0760A" w:rsidRDefault="003A6377" w:rsidP="007D7B2A">
            <w:pPr>
              <w:rPr>
                <w:rFonts w:cs="Arial"/>
                <w:color w:val="000000"/>
                <w:sz w:val="20"/>
              </w:rPr>
            </w:pPr>
            <w:r w:rsidRPr="00A0760A">
              <w:rPr>
                <w:rFonts w:cs="Arial"/>
                <w:b/>
                <w:bCs/>
                <w:color w:val="000000"/>
                <w:sz w:val="20"/>
              </w:rPr>
              <w:t>Project Management</w:t>
            </w:r>
          </w:p>
          <w:p w14:paraId="69FD15D4" w14:textId="77777777" w:rsidR="003A6377" w:rsidRPr="00A0760A" w:rsidRDefault="003A6377" w:rsidP="007D7B2A">
            <w:pPr>
              <w:rPr>
                <w:rFonts w:cs="Arial"/>
                <w:color w:val="000000"/>
                <w:sz w:val="20"/>
              </w:rPr>
            </w:pPr>
            <w:r w:rsidRPr="00A0760A">
              <w:rPr>
                <w:rFonts w:cs="Arial"/>
                <w:color w:val="000000"/>
                <w:sz w:val="20"/>
              </w:rPr>
              <w:t xml:space="preserve">Understand and apply effective planning, </w:t>
            </w:r>
            <w:proofErr w:type="gramStart"/>
            <w:r w:rsidRPr="00A0760A">
              <w:rPr>
                <w:rFonts w:cs="Arial"/>
                <w:color w:val="000000"/>
                <w:sz w:val="20"/>
              </w:rPr>
              <w:t>coordination</w:t>
            </w:r>
            <w:proofErr w:type="gramEnd"/>
            <w:r w:rsidRPr="00A0760A">
              <w:rPr>
                <w:rFonts w:cs="Arial"/>
                <w:color w:val="000000"/>
                <w:sz w:val="20"/>
              </w:rPr>
              <w:t xml:space="preserve"> and control methods</w:t>
            </w:r>
          </w:p>
        </w:tc>
        <w:tc>
          <w:tcPr>
            <w:tcW w:w="4709" w:type="dxa"/>
          </w:tcPr>
          <w:p w14:paraId="2D3B4374" w14:textId="77777777" w:rsidR="003A6377" w:rsidRPr="00A0760A" w:rsidRDefault="003A6377" w:rsidP="007D7B2A">
            <w:pPr>
              <w:pStyle w:val="TableBullet"/>
              <w:rPr>
                <w:rFonts w:cs="Arial"/>
              </w:rPr>
            </w:pPr>
            <w:r w:rsidRPr="00A0760A">
              <w:rPr>
                <w:rFonts w:cs="Arial"/>
              </w:rPr>
              <w:t>Perform basic research and analysis to inform and support the achievement of project deliverables</w:t>
            </w:r>
          </w:p>
          <w:p w14:paraId="55978006" w14:textId="77777777" w:rsidR="003A6377" w:rsidRPr="00A0760A" w:rsidRDefault="003A6377" w:rsidP="007D7B2A">
            <w:pPr>
              <w:pStyle w:val="TableBullet"/>
              <w:rPr>
                <w:rFonts w:cs="Arial"/>
              </w:rPr>
            </w:pPr>
            <w:r w:rsidRPr="00A0760A">
              <w:rPr>
                <w:rFonts w:cs="Arial"/>
              </w:rPr>
              <w:t>Contribute to developing project documentation and resource estimates</w:t>
            </w:r>
          </w:p>
          <w:p w14:paraId="30173994" w14:textId="77777777" w:rsidR="003A6377" w:rsidRPr="00A0760A" w:rsidRDefault="003A6377" w:rsidP="007D7B2A">
            <w:pPr>
              <w:pStyle w:val="TableBullet"/>
              <w:rPr>
                <w:rFonts w:cs="Arial"/>
              </w:rPr>
            </w:pPr>
            <w:r w:rsidRPr="00A0760A">
              <w:rPr>
                <w:rFonts w:cs="Arial"/>
              </w:rPr>
              <w:t xml:space="preserve">Contribute to reviews of progress, </w:t>
            </w:r>
            <w:proofErr w:type="gramStart"/>
            <w:r w:rsidRPr="00A0760A">
              <w:rPr>
                <w:rFonts w:cs="Arial"/>
              </w:rPr>
              <w:t>outcomes</w:t>
            </w:r>
            <w:proofErr w:type="gramEnd"/>
            <w:r w:rsidRPr="00A0760A">
              <w:rPr>
                <w:rFonts w:cs="Arial"/>
              </w:rPr>
              <w:t xml:space="preserve"> and future improvements</w:t>
            </w:r>
          </w:p>
          <w:p w14:paraId="06089C9D" w14:textId="77777777" w:rsidR="003A6377" w:rsidRPr="00A0760A" w:rsidRDefault="003A6377" w:rsidP="007D7B2A">
            <w:pPr>
              <w:pStyle w:val="TableBullet"/>
              <w:rPr>
                <w:rFonts w:cs="Arial"/>
              </w:rPr>
            </w:pPr>
            <w:r w:rsidRPr="00A0760A">
              <w:rPr>
                <w:rFonts w:cs="Arial"/>
              </w:rPr>
              <w:t>Identify and escalate possible variances from project plans</w:t>
            </w:r>
          </w:p>
        </w:tc>
        <w:tc>
          <w:tcPr>
            <w:tcW w:w="1668" w:type="dxa"/>
          </w:tcPr>
          <w:p w14:paraId="136CEF35" w14:textId="77777777" w:rsidR="003A6377" w:rsidRPr="00A0760A" w:rsidRDefault="003A6377" w:rsidP="007D7B2A">
            <w:pPr>
              <w:pStyle w:val="TableText"/>
              <w:rPr>
                <w:rFonts w:cs="Arial"/>
              </w:rPr>
            </w:pPr>
            <w:r w:rsidRPr="00A0760A">
              <w:rPr>
                <w:rFonts w:cs="Arial"/>
              </w:rPr>
              <w:t>Intermediate</w:t>
            </w:r>
          </w:p>
        </w:tc>
      </w:tr>
    </w:tbl>
    <w:p w14:paraId="7F293C0B" w14:textId="77777777" w:rsidR="003A6377" w:rsidRPr="00A0760A" w:rsidRDefault="003A6377" w:rsidP="003A6377">
      <w:pPr>
        <w:rPr>
          <w:rFonts w:cs="Arial"/>
        </w:rPr>
      </w:pPr>
    </w:p>
    <w:p w14:paraId="6BF16BAD" w14:textId="77777777" w:rsidR="003A6377" w:rsidRPr="00A0760A" w:rsidRDefault="003A6377" w:rsidP="003A6377">
      <w:pPr>
        <w:rPr>
          <w:rFonts w:cs="Arial"/>
        </w:rPr>
      </w:pPr>
    </w:p>
    <w:p w14:paraId="27BCCB74" w14:textId="77777777" w:rsidR="003A6377" w:rsidRPr="00A0760A" w:rsidRDefault="003A6377" w:rsidP="003A6377">
      <w:pPr>
        <w:pStyle w:val="Heading2"/>
      </w:pPr>
      <w:r w:rsidRPr="00A0760A">
        <w:t>Complementary capabilities</w:t>
      </w:r>
    </w:p>
    <w:p w14:paraId="10D5E182" w14:textId="77777777" w:rsidR="003A6377" w:rsidRPr="007D7B2A" w:rsidRDefault="003A6377" w:rsidP="003A6377">
      <w:pPr>
        <w:pStyle w:val="PlainText"/>
        <w:spacing w:before="62" w:line="276" w:lineRule="auto"/>
        <w:contextualSpacing/>
        <w:rPr>
          <w:rFonts w:ascii="Arial" w:eastAsiaTheme="minorEastAsia" w:hAnsi="Arial" w:cs="Arial"/>
          <w:szCs w:val="22"/>
          <w:lang w:val="en-US"/>
        </w:rPr>
      </w:pPr>
      <w:r w:rsidRPr="007D7B2A">
        <w:rPr>
          <w:rFonts w:ascii="Arial" w:eastAsiaTheme="minorEastAsia" w:hAnsi="Arial" w:cs="Arial"/>
          <w:i/>
          <w:szCs w:val="22"/>
          <w:lang w:val="en-US"/>
        </w:rPr>
        <w:t>Complementary capabilities</w:t>
      </w:r>
      <w:r w:rsidRPr="007D7B2A">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7838ECD3" w14:textId="77777777" w:rsidR="003A6377" w:rsidRPr="007D7B2A" w:rsidRDefault="003A6377" w:rsidP="003A6377">
      <w:pPr>
        <w:pStyle w:val="PlainText"/>
        <w:spacing w:before="62" w:line="276" w:lineRule="auto"/>
        <w:contextualSpacing/>
        <w:rPr>
          <w:rFonts w:ascii="Arial" w:eastAsiaTheme="minorEastAsia" w:hAnsi="Arial" w:cs="Arial"/>
          <w:szCs w:val="22"/>
          <w:lang w:val="en-US"/>
        </w:rPr>
      </w:pPr>
      <w:r w:rsidRPr="007D7B2A">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3AE24820" w14:textId="77777777" w:rsidR="003A6377" w:rsidRPr="007D7B2A" w:rsidRDefault="003A6377" w:rsidP="003A6377">
      <w:pPr>
        <w:pStyle w:val="PlainText"/>
        <w:spacing w:before="62" w:line="276" w:lineRule="auto"/>
        <w:contextualSpacing/>
        <w:rPr>
          <w:rFonts w:ascii="Arial" w:eastAsiaTheme="minorEastAsia" w:hAnsi="Arial" w:cs="Arial"/>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A6377" w:rsidRPr="00A0760A" w14:paraId="4A406682" w14:textId="77777777" w:rsidTr="007D7B2A">
        <w:trPr>
          <w:cantSplit/>
        </w:trPr>
        <w:tc>
          <w:tcPr>
            <w:tcW w:w="1276" w:type="dxa"/>
            <w:shd w:val="clear" w:color="auto" w:fill="BFBFBF" w:themeFill="background1" w:themeFillShade="BF"/>
            <w:vAlign w:val="center"/>
          </w:tcPr>
          <w:p w14:paraId="15F5B5A4" w14:textId="77777777" w:rsidR="003A6377" w:rsidRPr="00A0760A" w:rsidRDefault="003A6377" w:rsidP="007D7B2A">
            <w:pPr>
              <w:rPr>
                <w:rFonts w:cs="Arial"/>
                <w:sz w:val="20"/>
              </w:rPr>
            </w:pPr>
            <w:r w:rsidRPr="00A0760A">
              <w:rPr>
                <w:rFonts w:cs="Arial"/>
                <w:b/>
                <w:sz w:val="20"/>
              </w:rPr>
              <w:t>Capability group/sets</w:t>
            </w:r>
          </w:p>
        </w:tc>
        <w:tc>
          <w:tcPr>
            <w:tcW w:w="2693" w:type="dxa"/>
            <w:shd w:val="clear" w:color="auto" w:fill="BFBFBF" w:themeFill="background1" w:themeFillShade="BF"/>
          </w:tcPr>
          <w:p w14:paraId="0E460908" w14:textId="77777777" w:rsidR="003A6377" w:rsidRPr="00A0760A" w:rsidRDefault="003A6377" w:rsidP="007D7B2A">
            <w:pPr>
              <w:rPr>
                <w:rFonts w:cs="Arial"/>
                <w:sz w:val="20"/>
              </w:rPr>
            </w:pPr>
            <w:r w:rsidRPr="00A0760A">
              <w:rPr>
                <w:rFonts w:cs="Arial"/>
                <w:b/>
                <w:sz w:val="20"/>
              </w:rPr>
              <w:t>Capability name</w:t>
            </w:r>
          </w:p>
        </w:tc>
        <w:tc>
          <w:tcPr>
            <w:tcW w:w="4851" w:type="dxa"/>
            <w:shd w:val="clear" w:color="auto" w:fill="BFBFBF" w:themeFill="background1" w:themeFillShade="BF"/>
          </w:tcPr>
          <w:p w14:paraId="2FD53114" w14:textId="77777777" w:rsidR="003A6377" w:rsidRPr="00A0760A" w:rsidRDefault="003A6377" w:rsidP="007D7B2A">
            <w:pPr>
              <w:rPr>
                <w:rFonts w:cs="Arial"/>
                <w:sz w:val="20"/>
              </w:rPr>
            </w:pPr>
            <w:r w:rsidRPr="00A0760A">
              <w:rPr>
                <w:rFonts w:cs="Arial"/>
                <w:b/>
                <w:sz w:val="20"/>
              </w:rPr>
              <w:t>Description</w:t>
            </w:r>
          </w:p>
        </w:tc>
        <w:tc>
          <w:tcPr>
            <w:tcW w:w="1668" w:type="dxa"/>
            <w:shd w:val="clear" w:color="auto" w:fill="BFBFBF" w:themeFill="background1" w:themeFillShade="BF"/>
          </w:tcPr>
          <w:p w14:paraId="20C89672" w14:textId="77777777" w:rsidR="003A6377" w:rsidRPr="00A0760A" w:rsidRDefault="003A6377" w:rsidP="007D7B2A">
            <w:pPr>
              <w:rPr>
                <w:rFonts w:cs="Arial"/>
                <w:b/>
                <w:bCs/>
                <w:sz w:val="20"/>
              </w:rPr>
            </w:pPr>
            <w:r w:rsidRPr="00A0760A">
              <w:rPr>
                <w:rFonts w:cs="Arial"/>
                <w:b/>
                <w:bCs/>
                <w:sz w:val="20"/>
              </w:rPr>
              <w:t>Level</w:t>
            </w:r>
          </w:p>
        </w:tc>
      </w:tr>
      <w:tr w:rsidR="003A6377" w:rsidRPr="00A0760A" w14:paraId="3A77509A" w14:textId="77777777" w:rsidTr="007D7B2A">
        <w:trPr>
          <w:cantSplit/>
        </w:trPr>
        <w:tc>
          <w:tcPr>
            <w:tcW w:w="1276" w:type="dxa"/>
          </w:tcPr>
          <w:p w14:paraId="23A973ED"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0EC64AC0" wp14:editId="682E55E8">
                  <wp:extent cx="416966" cy="416966"/>
                  <wp:effectExtent l="0" t="0" r="2540" b="2540"/>
                  <wp:docPr id="733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6D117C0" w14:textId="77777777" w:rsidR="003A6377" w:rsidRPr="00A0760A" w:rsidRDefault="003A6377" w:rsidP="007D7B2A">
            <w:pPr>
              <w:pStyle w:val="TableText"/>
              <w:rPr>
                <w:rFonts w:cs="Arial"/>
              </w:rPr>
            </w:pPr>
            <w:r w:rsidRPr="00A0760A">
              <w:rPr>
                <w:rFonts w:cs="Arial"/>
              </w:rPr>
              <w:t>Display Resilience and Courage</w:t>
            </w:r>
          </w:p>
        </w:tc>
        <w:tc>
          <w:tcPr>
            <w:tcW w:w="4851" w:type="dxa"/>
          </w:tcPr>
          <w:p w14:paraId="0E88F3A0" w14:textId="77777777" w:rsidR="003A6377" w:rsidRPr="00A0760A" w:rsidRDefault="003A6377" w:rsidP="007D7B2A">
            <w:pPr>
              <w:pStyle w:val="TableText"/>
              <w:rPr>
                <w:rFonts w:cs="Arial"/>
              </w:rPr>
            </w:pPr>
            <w:r w:rsidRPr="00A0760A">
              <w:rPr>
                <w:rFonts w:cs="Arial"/>
              </w:rPr>
              <w:t>Be open and honest, prepared to express your views, and willing to accept and commit to change</w:t>
            </w:r>
          </w:p>
        </w:tc>
        <w:tc>
          <w:tcPr>
            <w:tcW w:w="1668" w:type="dxa"/>
          </w:tcPr>
          <w:p w14:paraId="36F6F08E" w14:textId="77777777" w:rsidR="003A6377" w:rsidRPr="00A0760A" w:rsidRDefault="003A6377" w:rsidP="007D7B2A">
            <w:pPr>
              <w:pStyle w:val="TableText"/>
              <w:rPr>
                <w:rFonts w:cs="Arial"/>
              </w:rPr>
            </w:pPr>
            <w:r w:rsidRPr="00A0760A">
              <w:rPr>
                <w:rFonts w:cs="Arial"/>
              </w:rPr>
              <w:t>Adept</w:t>
            </w:r>
          </w:p>
        </w:tc>
      </w:tr>
      <w:tr w:rsidR="003A6377" w:rsidRPr="00A0760A" w14:paraId="065262D2" w14:textId="77777777" w:rsidTr="007D7B2A">
        <w:trPr>
          <w:cantSplit/>
        </w:trPr>
        <w:tc>
          <w:tcPr>
            <w:tcW w:w="1276" w:type="dxa"/>
          </w:tcPr>
          <w:p w14:paraId="0E5BF5B2"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54A291ED" wp14:editId="7BC51978">
                  <wp:extent cx="416966" cy="416966"/>
                  <wp:effectExtent l="0" t="0" r="2540" b="2540"/>
                  <wp:docPr id="897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8ED67A8" w14:textId="77777777" w:rsidR="003A6377" w:rsidRPr="00A0760A" w:rsidRDefault="003A6377" w:rsidP="007D7B2A">
            <w:pPr>
              <w:pStyle w:val="TableText"/>
              <w:rPr>
                <w:rFonts w:cs="Arial"/>
              </w:rPr>
            </w:pPr>
            <w:r w:rsidRPr="00A0760A">
              <w:rPr>
                <w:rFonts w:cs="Arial"/>
              </w:rPr>
              <w:t>Value Diversity and Inclusion</w:t>
            </w:r>
          </w:p>
        </w:tc>
        <w:tc>
          <w:tcPr>
            <w:tcW w:w="4851" w:type="dxa"/>
          </w:tcPr>
          <w:p w14:paraId="46AE8880" w14:textId="77777777" w:rsidR="003A6377" w:rsidRPr="00A0760A" w:rsidRDefault="003A6377" w:rsidP="007D7B2A">
            <w:pPr>
              <w:pStyle w:val="TableText"/>
              <w:rPr>
                <w:rFonts w:cs="Arial"/>
              </w:rPr>
            </w:pPr>
            <w:r w:rsidRPr="00A0760A">
              <w:rPr>
                <w:rFonts w:cs="Arial"/>
              </w:rPr>
              <w:t xml:space="preserve">Demonstrate inclusive behaviour and show respect for diverse backgrounds, </w:t>
            </w:r>
            <w:proofErr w:type="gramStart"/>
            <w:r w:rsidRPr="00A0760A">
              <w:rPr>
                <w:rFonts w:cs="Arial"/>
              </w:rPr>
              <w:t>experiences</w:t>
            </w:r>
            <w:proofErr w:type="gramEnd"/>
            <w:r w:rsidRPr="00A0760A">
              <w:rPr>
                <w:rFonts w:cs="Arial"/>
              </w:rPr>
              <w:t xml:space="preserve"> and perspectives</w:t>
            </w:r>
          </w:p>
        </w:tc>
        <w:tc>
          <w:tcPr>
            <w:tcW w:w="1668" w:type="dxa"/>
          </w:tcPr>
          <w:p w14:paraId="30B762B4" w14:textId="77777777" w:rsidR="003A6377" w:rsidRPr="00A0760A" w:rsidRDefault="003A6377" w:rsidP="007D7B2A">
            <w:pPr>
              <w:pStyle w:val="TableText"/>
              <w:rPr>
                <w:rFonts w:cs="Arial"/>
              </w:rPr>
            </w:pPr>
            <w:r w:rsidRPr="00A0760A">
              <w:rPr>
                <w:rFonts w:cs="Arial"/>
              </w:rPr>
              <w:t>Foundational</w:t>
            </w:r>
          </w:p>
        </w:tc>
      </w:tr>
      <w:tr w:rsidR="003A6377" w:rsidRPr="00A0760A" w14:paraId="2978F481" w14:textId="77777777" w:rsidTr="007D7B2A">
        <w:trPr>
          <w:cantSplit/>
        </w:trPr>
        <w:tc>
          <w:tcPr>
            <w:tcW w:w="1276" w:type="dxa"/>
          </w:tcPr>
          <w:p w14:paraId="21A5B415"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536F11C5" wp14:editId="67099219">
                  <wp:extent cx="416966" cy="416966"/>
                  <wp:effectExtent l="0" t="0" r="2540" b="2540"/>
                  <wp:docPr id="538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CFA6065" w14:textId="77777777" w:rsidR="003A6377" w:rsidRPr="00A0760A" w:rsidRDefault="003A6377" w:rsidP="007D7B2A">
            <w:pPr>
              <w:pStyle w:val="TableText"/>
              <w:rPr>
                <w:rFonts w:cs="Arial"/>
              </w:rPr>
            </w:pPr>
            <w:r w:rsidRPr="00A0760A">
              <w:rPr>
                <w:rFonts w:cs="Arial"/>
              </w:rPr>
              <w:t>Work Collaboratively</w:t>
            </w:r>
          </w:p>
        </w:tc>
        <w:tc>
          <w:tcPr>
            <w:tcW w:w="4851" w:type="dxa"/>
          </w:tcPr>
          <w:p w14:paraId="5C50E991" w14:textId="77777777" w:rsidR="003A6377" w:rsidRPr="00A0760A" w:rsidRDefault="003A6377" w:rsidP="007D7B2A">
            <w:pPr>
              <w:pStyle w:val="TableText"/>
              <w:rPr>
                <w:rFonts w:cs="Arial"/>
              </w:rPr>
            </w:pPr>
            <w:r w:rsidRPr="00A0760A">
              <w:rPr>
                <w:rFonts w:cs="Arial"/>
              </w:rPr>
              <w:t>Collaborate with others and value their contribution</w:t>
            </w:r>
          </w:p>
        </w:tc>
        <w:tc>
          <w:tcPr>
            <w:tcW w:w="1668" w:type="dxa"/>
          </w:tcPr>
          <w:p w14:paraId="271D48A7" w14:textId="77777777" w:rsidR="003A6377" w:rsidRPr="00A0760A" w:rsidRDefault="003A6377" w:rsidP="007D7B2A">
            <w:pPr>
              <w:pStyle w:val="TableText"/>
              <w:rPr>
                <w:rFonts w:cs="Arial"/>
              </w:rPr>
            </w:pPr>
            <w:r w:rsidRPr="00A0760A">
              <w:rPr>
                <w:rFonts w:cs="Arial"/>
              </w:rPr>
              <w:t>Intermediate</w:t>
            </w:r>
          </w:p>
        </w:tc>
      </w:tr>
      <w:tr w:rsidR="003A6377" w:rsidRPr="00A0760A" w14:paraId="6C5C8556" w14:textId="77777777" w:rsidTr="007D7B2A">
        <w:trPr>
          <w:cantSplit/>
        </w:trPr>
        <w:tc>
          <w:tcPr>
            <w:tcW w:w="1276" w:type="dxa"/>
          </w:tcPr>
          <w:p w14:paraId="2048B76E"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7536B99F" wp14:editId="4F7C0238">
                  <wp:extent cx="416966" cy="416966"/>
                  <wp:effectExtent l="0" t="0" r="2540" b="2540"/>
                  <wp:docPr id="702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0B1C424" w14:textId="77777777" w:rsidR="003A6377" w:rsidRPr="00A0760A" w:rsidRDefault="003A6377" w:rsidP="007D7B2A">
            <w:pPr>
              <w:pStyle w:val="TableText"/>
              <w:rPr>
                <w:rFonts w:cs="Arial"/>
              </w:rPr>
            </w:pPr>
            <w:r w:rsidRPr="00A0760A">
              <w:rPr>
                <w:rFonts w:cs="Arial"/>
              </w:rPr>
              <w:t xml:space="preserve">Influence and </w:t>
            </w:r>
            <w:proofErr w:type="gramStart"/>
            <w:r w:rsidRPr="00A0760A">
              <w:rPr>
                <w:rFonts w:cs="Arial"/>
              </w:rPr>
              <w:t>Negotiate</w:t>
            </w:r>
            <w:proofErr w:type="gramEnd"/>
          </w:p>
        </w:tc>
        <w:tc>
          <w:tcPr>
            <w:tcW w:w="4851" w:type="dxa"/>
          </w:tcPr>
          <w:p w14:paraId="5EBE5000" w14:textId="77777777" w:rsidR="003A6377" w:rsidRPr="00A0760A" w:rsidRDefault="003A6377" w:rsidP="007D7B2A">
            <w:pPr>
              <w:pStyle w:val="TableText"/>
              <w:rPr>
                <w:rFonts w:cs="Arial"/>
              </w:rPr>
            </w:pPr>
            <w:r w:rsidRPr="00A0760A">
              <w:rPr>
                <w:rFonts w:cs="Arial"/>
              </w:rPr>
              <w:t>Gain consensus and commitment from others, and resolve issues and conflicts</w:t>
            </w:r>
          </w:p>
        </w:tc>
        <w:tc>
          <w:tcPr>
            <w:tcW w:w="1668" w:type="dxa"/>
          </w:tcPr>
          <w:p w14:paraId="460FEF4F" w14:textId="77777777" w:rsidR="003A6377" w:rsidRPr="00A0760A" w:rsidRDefault="003A6377" w:rsidP="007D7B2A">
            <w:pPr>
              <w:pStyle w:val="TableText"/>
              <w:rPr>
                <w:rFonts w:cs="Arial"/>
              </w:rPr>
            </w:pPr>
            <w:r w:rsidRPr="00A0760A">
              <w:rPr>
                <w:rFonts w:cs="Arial"/>
              </w:rPr>
              <w:t>Intermediate</w:t>
            </w:r>
          </w:p>
        </w:tc>
      </w:tr>
      <w:tr w:rsidR="003A6377" w:rsidRPr="00A0760A" w14:paraId="6195F9FF" w14:textId="77777777" w:rsidTr="007D7B2A">
        <w:trPr>
          <w:cantSplit/>
        </w:trPr>
        <w:tc>
          <w:tcPr>
            <w:tcW w:w="1276" w:type="dxa"/>
          </w:tcPr>
          <w:p w14:paraId="347413B4"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636E091D" wp14:editId="0F609786">
                  <wp:extent cx="416966" cy="416966"/>
                  <wp:effectExtent l="0" t="0" r="2540" b="2540"/>
                  <wp:docPr id="344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424A3C0" w14:textId="77777777" w:rsidR="003A6377" w:rsidRPr="00A0760A" w:rsidRDefault="003A6377" w:rsidP="007D7B2A">
            <w:pPr>
              <w:pStyle w:val="TableText"/>
              <w:rPr>
                <w:rFonts w:cs="Arial"/>
              </w:rPr>
            </w:pPr>
            <w:r w:rsidRPr="00A0760A">
              <w:rPr>
                <w:rFonts w:cs="Arial"/>
              </w:rPr>
              <w:t xml:space="preserve">Plan and </w:t>
            </w:r>
            <w:proofErr w:type="gramStart"/>
            <w:r w:rsidRPr="00A0760A">
              <w:rPr>
                <w:rFonts w:cs="Arial"/>
              </w:rPr>
              <w:t>Prioritise</w:t>
            </w:r>
            <w:proofErr w:type="gramEnd"/>
          </w:p>
        </w:tc>
        <w:tc>
          <w:tcPr>
            <w:tcW w:w="4851" w:type="dxa"/>
          </w:tcPr>
          <w:p w14:paraId="6CAAE1E7" w14:textId="77777777" w:rsidR="003A6377" w:rsidRPr="00A0760A" w:rsidRDefault="003A6377" w:rsidP="007D7B2A">
            <w:pPr>
              <w:pStyle w:val="TableText"/>
              <w:rPr>
                <w:rFonts w:cs="Arial"/>
              </w:rPr>
            </w:pPr>
            <w:r w:rsidRPr="00A0760A">
              <w:rPr>
                <w:rFonts w:cs="Arial"/>
              </w:rPr>
              <w:t>Plan to achieve priority outcomes and respond flexibly to changing circumstances</w:t>
            </w:r>
          </w:p>
        </w:tc>
        <w:tc>
          <w:tcPr>
            <w:tcW w:w="1668" w:type="dxa"/>
          </w:tcPr>
          <w:p w14:paraId="72A93CFF" w14:textId="77777777" w:rsidR="003A6377" w:rsidRPr="00A0760A" w:rsidRDefault="003A6377" w:rsidP="007D7B2A">
            <w:pPr>
              <w:pStyle w:val="TableText"/>
              <w:rPr>
                <w:rFonts w:cs="Arial"/>
              </w:rPr>
            </w:pPr>
            <w:r w:rsidRPr="00A0760A">
              <w:rPr>
                <w:rFonts w:cs="Arial"/>
              </w:rPr>
              <w:t>Intermediate</w:t>
            </w:r>
          </w:p>
        </w:tc>
      </w:tr>
      <w:tr w:rsidR="003A6377" w:rsidRPr="00A0760A" w14:paraId="0BF27A76" w14:textId="77777777" w:rsidTr="007D7B2A">
        <w:trPr>
          <w:cantSplit/>
        </w:trPr>
        <w:tc>
          <w:tcPr>
            <w:tcW w:w="1276" w:type="dxa"/>
          </w:tcPr>
          <w:p w14:paraId="51A4931D"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07A19812" wp14:editId="5D539A58">
                  <wp:extent cx="416966" cy="416966"/>
                  <wp:effectExtent l="0" t="0" r="2540" b="2540"/>
                  <wp:docPr id="984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1AC9375" w14:textId="77777777" w:rsidR="003A6377" w:rsidRPr="00A0760A" w:rsidRDefault="003A6377" w:rsidP="007D7B2A">
            <w:pPr>
              <w:pStyle w:val="TableText"/>
              <w:rPr>
                <w:rFonts w:cs="Arial"/>
              </w:rPr>
            </w:pPr>
            <w:r w:rsidRPr="00A0760A">
              <w:rPr>
                <w:rFonts w:cs="Arial"/>
              </w:rPr>
              <w:t>Demonstrate Accountability</w:t>
            </w:r>
          </w:p>
        </w:tc>
        <w:tc>
          <w:tcPr>
            <w:tcW w:w="4851" w:type="dxa"/>
          </w:tcPr>
          <w:p w14:paraId="44A1B3C3" w14:textId="77777777" w:rsidR="003A6377" w:rsidRPr="00A0760A" w:rsidRDefault="003A6377" w:rsidP="007D7B2A">
            <w:pPr>
              <w:pStyle w:val="TableText"/>
              <w:rPr>
                <w:rFonts w:cs="Arial"/>
              </w:rPr>
            </w:pPr>
            <w:r w:rsidRPr="00A0760A">
              <w:rPr>
                <w:rFonts w:cs="Arial"/>
              </w:rPr>
              <w:t xml:space="preserve">Be proactive and responsible for own actions, and adhere to legislation, </w:t>
            </w:r>
            <w:proofErr w:type="gramStart"/>
            <w:r w:rsidRPr="00A0760A">
              <w:rPr>
                <w:rFonts w:cs="Arial"/>
              </w:rPr>
              <w:t>policy</w:t>
            </w:r>
            <w:proofErr w:type="gramEnd"/>
            <w:r w:rsidRPr="00A0760A">
              <w:rPr>
                <w:rFonts w:cs="Arial"/>
              </w:rPr>
              <w:t xml:space="preserve"> and guidelines</w:t>
            </w:r>
          </w:p>
        </w:tc>
        <w:tc>
          <w:tcPr>
            <w:tcW w:w="1668" w:type="dxa"/>
          </w:tcPr>
          <w:p w14:paraId="0A7A2BE4" w14:textId="77777777" w:rsidR="003A6377" w:rsidRPr="00A0760A" w:rsidRDefault="003A6377" w:rsidP="007D7B2A">
            <w:pPr>
              <w:pStyle w:val="TableText"/>
              <w:rPr>
                <w:rFonts w:cs="Arial"/>
              </w:rPr>
            </w:pPr>
            <w:r w:rsidRPr="00A0760A">
              <w:rPr>
                <w:rFonts w:cs="Arial"/>
              </w:rPr>
              <w:t>Intermediate</w:t>
            </w:r>
          </w:p>
        </w:tc>
      </w:tr>
      <w:tr w:rsidR="003A6377" w:rsidRPr="00A0760A" w14:paraId="28FBB9D0" w14:textId="77777777" w:rsidTr="007D7B2A">
        <w:trPr>
          <w:cantSplit/>
        </w:trPr>
        <w:tc>
          <w:tcPr>
            <w:tcW w:w="1276" w:type="dxa"/>
          </w:tcPr>
          <w:p w14:paraId="7050AFEB"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6B54F776" wp14:editId="35A64D5F">
                  <wp:extent cx="416966" cy="416966"/>
                  <wp:effectExtent l="0" t="0" r="2540" b="2540"/>
                  <wp:docPr id="149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279CD45" w14:textId="77777777" w:rsidR="003A6377" w:rsidRPr="00A0760A" w:rsidRDefault="003A6377" w:rsidP="007D7B2A">
            <w:pPr>
              <w:pStyle w:val="TableText"/>
              <w:rPr>
                <w:rFonts w:cs="Arial"/>
              </w:rPr>
            </w:pPr>
            <w:r w:rsidRPr="00A0760A">
              <w:rPr>
                <w:rFonts w:cs="Arial"/>
              </w:rPr>
              <w:t>Finance</w:t>
            </w:r>
          </w:p>
        </w:tc>
        <w:tc>
          <w:tcPr>
            <w:tcW w:w="4851" w:type="dxa"/>
          </w:tcPr>
          <w:p w14:paraId="75C4B67E" w14:textId="77777777" w:rsidR="003A6377" w:rsidRPr="00A0760A" w:rsidRDefault="003A6377" w:rsidP="007D7B2A">
            <w:pPr>
              <w:pStyle w:val="TableText"/>
              <w:rPr>
                <w:rFonts w:cs="Arial"/>
              </w:rPr>
            </w:pPr>
            <w:r w:rsidRPr="00A0760A">
              <w:rPr>
                <w:rFonts w:cs="Arial"/>
              </w:rPr>
              <w:t>Understand and apply financial processes to achieve value for money and minimise financial risk</w:t>
            </w:r>
          </w:p>
        </w:tc>
        <w:tc>
          <w:tcPr>
            <w:tcW w:w="1668" w:type="dxa"/>
          </w:tcPr>
          <w:p w14:paraId="1699E53B" w14:textId="77777777" w:rsidR="003A6377" w:rsidRPr="00A0760A" w:rsidRDefault="003A6377" w:rsidP="007D7B2A">
            <w:pPr>
              <w:pStyle w:val="TableText"/>
              <w:rPr>
                <w:rFonts w:cs="Arial"/>
              </w:rPr>
            </w:pPr>
            <w:r w:rsidRPr="00A0760A">
              <w:rPr>
                <w:rFonts w:cs="Arial"/>
              </w:rPr>
              <w:t>Foundational</w:t>
            </w:r>
          </w:p>
        </w:tc>
      </w:tr>
      <w:tr w:rsidR="003A6377" w:rsidRPr="00A0760A" w14:paraId="2296B655" w14:textId="77777777" w:rsidTr="007D7B2A">
        <w:trPr>
          <w:cantSplit/>
        </w:trPr>
        <w:tc>
          <w:tcPr>
            <w:tcW w:w="1276" w:type="dxa"/>
          </w:tcPr>
          <w:p w14:paraId="5C142EF0" w14:textId="77777777" w:rsidR="003A6377" w:rsidRPr="00A0760A" w:rsidRDefault="003A6377" w:rsidP="007D7B2A">
            <w:pPr>
              <w:rPr>
                <w:rFonts w:cs="Arial"/>
                <w:sz w:val="20"/>
              </w:rPr>
            </w:pPr>
            <w:r w:rsidRPr="00A0760A">
              <w:rPr>
                <w:rFonts w:cs="Arial"/>
                <w:noProof/>
                <w:sz w:val="20"/>
                <w:lang w:val="en-AU" w:eastAsia="en-AU"/>
              </w:rPr>
              <w:drawing>
                <wp:inline distT="0" distB="0" distL="0" distR="0" wp14:anchorId="47F317BE" wp14:editId="53E2B2E2">
                  <wp:extent cx="416966" cy="416966"/>
                  <wp:effectExtent l="0" t="0" r="2540" b="2540"/>
                  <wp:docPr id="789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D5986E1" w14:textId="77777777" w:rsidR="003A6377" w:rsidRPr="00A0760A" w:rsidRDefault="003A6377" w:rsidP="007D7B2A">
            <w:pPr>
              <w:pStyle w:val="TableText"/>
              <w:rPr>
                <w:rFonts w:cs="Arial"/>
              </w:rPr>
            </w:pPr>
            <w:r w:rsidRPr="00A0760A">
              <w:rPr>
                <w:rFonts w:cs="Arial"/>
              </w:rPr>
              <w:t>Procurement and Contract Management</w:t>
            </w:r>
          </w:p>
        </w:tc>
        <w:tc>
          <w:tcPr>
            <w:tcW w:w="4851" w:type="dxa"/>
          </w:tcPr>
          <w:p w14:paraId="3E982979" w14:textId="77777777" w:rsidR="003A6377" w:rsidRPr="00A0760A" w:rsidRDefault="003A6377" w:rsidP="007D7B2A">
            <w:pPr>
              <w:pStyle w:val="TableText"/>
              <w:rPr>
                <w:rFonts w:cs="Arial"/>
              </w:rPr>
            </w:pPr>
            <w:r w:rsidRPr="00A0760A">
              <w:rPr>
                <w:rFonts w:cs="Arial"/>
              </w:rPr>
              <w:t>Understand and apply procurement processes to ensure effective purchasing and contract performance</w:t>
            </w:r>
          </w:p>
        </w:tc>
        <w:tc>
          <w:tcPr>
            <w:tcW w:w="1668" w:type="dxa"/>
          </w:tcPr>
          <w:p w14:paraId="6E7BE896" w14:textId="77777777" w:rsidR="003A6377" w:rsidRPr="00A0760A" w:rsidRDefault="003A6377" w:rsidP="007D7B2A">
            <w:pPr>
              <w:pStyle w:val="TableText"/>
              <w:rPr>
                <w:rFonts w:cs="Arial"/>
              </w:rPr>
            </w:pPr>
            <w:r w:rsidRPr="00A0760A">
              <w:rPr>
                <w:rFonts w:cs="Arial"/>
              </w:rPr>
              <w:t>Foundational</w:t>
            </w:r>
          </w:p>
        </w:tc>
      </w:tr>
      <w:bookmarkEnd w:id="1"/>
      <w:bookmarkEnd w:id="2"/>
      <w:bookmarkEnd w:id="3"/>
      <w:bookmarkEnd w:id="4"/>
    </w:tbl>
    <w:p w14:paraId="0ADDADD4" w14:textId="77777777" w:rsidR="003A6377" w:rsidRPr="00A0760A" w:rsidRDefault="003A6377" w:rsidP="003A6377">
      <w:pPr>
        <w:rPr>
          <w:rFonts w:cs="Arial"/>
        </w:rPr>
      </w:pPr>
    </w:p>
    <w:p w14:paraId="5F19DB73" w14:textId="77777777" w:rsidR="00750D74" w:rsidRPr="00ED7735" w:rsidRDefault="00750D74" w:rsidP="003A6377">
      <w:pPr>
        <w:pStyle w:val="Heading1"/>
      </w:pPr>
    </w:p>
    <w:sectPr w:rsidR="00750D74" w:rsidRPr="00ED7735"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D9FB" w14:textId="77777777" w:rsidR="00A07269" w:rsidRDefault="00A07269" w:rsidP="00BB532F">
      <w:pPr>
        <w:spacing w:after="0" w:line="240" w:lineRule="auto"/>
      </w:pPr>
      <w:r>
        <w:separator/>
      </w:r>
    </w:p>
  </w:endnote>
  <w:endnote w:type="continuationSeparator" w:id="0">
    <w:p w14:paraId="4934C3D1" w14:textId="77777777" w:rsidR="00A07269" w:rsidRDefault="00A0726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charset w:val="00"/>
    <w:family w:val="swiss"/>
    <w:pitch w:val="variable"/>
    <w:sig w:usb0="A00000E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ED8DDB2" w14:textId="77777777" w:rsidTr="00C03AFD">
      <w:tc>
        <w:tcPr>
          <w:tcW w:w="2250" w:type="pct"/>
          <w:vAlign w:val="center"/>
        </w:tcPr>
        <w:p w14:paraId="264587E5" w14:textId="7E7718FB" w:rsidR="00C03AFD" w:rsidRDefault="00C03AFD" w:rsidP="00ED7735">
          <w:pPr>
            <w:pStyle w:val="Footer"/>
          </w:pPr>
          <w:r w:rsidRPr="00C03AFD">
            <w:rPr>
              <w:color w:val="928B81"/>
              <w:sz w:val="18"/>
            </w:rPr>
            <w:t>Role Description</w:t>
          </w:r>
          <w:r w:rsidRPr="00C03AFD">
            <w:rPr>
              <w:color w:val="595959" w:themeColor="text1" w:themeTint="A6"/>
              <w:sz w:val="18"/>
            </w:rPr>
            <w:t xml:space="preserve"> </w:t>
          </w:r>
          <w:r w:rsidR="00ED7735">
            <w:rPr>
              <w:color w:val="000000" w:themeColor="text1"/>
              <w:sz w:val="18"/>
            </w:rPr>
            <w:t>Departmental Liaison Officer</w:t>
          </w:r>
        </w:p>
      </w:tc>
      <w:tc>
        <w:tcPr>
          <w:tcW w:w="250" w:type="pct"/>
          <w:vAlign w:val="center"/>
        </w:tcPr>
        <w:p w14:paraId="547B2C10" w14:textId="32E1BC9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D4F83">
            <w:rPr>
              <w:noProof/>
              <w:color w:val="928B81"/>
              <w:sz w:val="18"/>
              <w:lang w:eastAsia="en-AU"/>
            </w:rPr>
            <w:t>4</w:t>
          </w:r>
          <w:r w:rsidRPr="00C03AFD">
            <w:rPr>
              <w:noProof/>
              <w:color w:val="928B81"/>
              <w:sz w:val="18"/>
              <w:lang w:eastAsia="en-AU"/>
            </w:rPr>
            <w:fldChar w:fldCharType="end"/>
          </w:r>
        </w:p>
      </w:tc>
      <w:tc>
        <w:tcPr>
          <w:tcW w:w="2350" w:type="pct"/>
        </w:tcPr>
        <w:p w14:paraId="145653C8" w14:textId="77777777" w:rsidR="00C03AFD" w:rsidRDefault="00C03AFD" w:rsidP="00C03AFD">
          <w:pPr>
            <w:pStyle w:val="Footer"/>
            <w:jc w:val="right"/>
          </w:pPr>
        </w:p>
      </w:tc>
    </w:tr>
  </w:tbl>
  <w:p w14:paraId="70BDDEC9"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FB47278" w14:textId="77777777" w:rsidTr="0047547E">
      <w:trPr>
        <w:trHeight w:val="811"/>
      </w:trPr>
      <w:tc>
        <w:tcPr>
          <w:tcW w:w="10005" w:type="dxa"/>
          <w:vAlign w:val="bottom"/>
        </w:tcPr>
        <w:p w14:paraId="1F88BB9F" w14:textId="4C601AB9"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802DE">
            <w:rPr>
              <w:noProof/>
              <w:lang w:eastAsia="en-AU"/>
            </w:rPr>
            <w:t>1</w:t>
          </w:r>
          <w:r>
            <w:rPr>
              <w:noProof/>
              <w:lang w:eastAsia="en-AU"/>
            </w:rPr>
            <w:fldChar w:fldCharType="end"/>
          </w:r>
        </w:p>
      </w:tc>
      <w:tc>
        <w:tcPr>
          <w:tcW w:w="875" w:type="dxa"/>
        </w:tcPr>
        <w:p w14:paraId="5B928991" w14:textId="77777777" w:rsidR="00BB532F" w:rsidRDefault="00BB532F" w:rsidP="00BD7BA7">
          <w:pPr>
            <w:pStyle w:val="Footer"/>
            <w:jc w:val="right"/>
          </w:pPr>
        </w:p>
      </w:tc>
    </w:tr>
  </w:tbl>
  <w:p w14:paraId="6898238F"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72E2" w14:textId="77777777" w:rsidR="00A07269" w:rsidRDefault="00A07269" w:rsidP="00BB532F">
      <w:pPr>
        <w:spacing w:after="0" w:line="240" w:lineRule="auto"/>
      </w:pPr>
      <w:r>
        <w:separator/>
      </w:r>
    </w:p>
  </w:footnote>
  <w:footnote w:type="continuationSeparator" w:id="0">
    <w:p w14:paraId="30E6819F" w14:textId="77777777" w:rsidR="00A07269" w:rsidRDefault="00A0726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415"/>
    </w:tblGrid>
    <w:tr w:rsidR="00F52695" w14:paraId="243BBCC0" w14:textId="77777777" w:rsidTr="007026CC">
      <w:tc>
        <w:tcPr>
          <w:tcW w:w="5508" w:type="dxa"/>
        </w:tcPr>
        <w:p w14:paraId="336A1801" w14:textId="77777777" w:rsidR="00F52695" w:rsidRPr="00862454" w:rsidRDefault="00F52695" w:rsidP="00F52695">
          <w:pPr>
            <w:pStyle w:val="TitleSub"/>
            <w:spacing w:after="0"/>
            <w:rPr>
              <w:rFonts w:ascii="Arial" w:hAnsi="Arial" w:cs="Arial"/>
            </w:rPr>
          </w:pPr>
          <w:r w:rsidRPr="00862454">
            <w:rPr>
              <w:rFonts w:ascii="Arial" w:hAnsi="Arial" w:cs="Arial"/>
            </w:rPr>
            <w:t xml:space="preserve">Role Description </w:t>
          </w:r>
        </w:p>
        <w:p w14:paraId="0827BA3B" w14:textId="0E0C5E96" w:rsidR="00F52695" w:rsidRDefault="00ED7735" w:rsidP="002A583D">
          <w:r>
            <w:rPr>
              <w:rFonts w:cs="Arial"/>
              <w:b/>
              <w:sz w:val="42"/>
              <w:szCs w:val="42"/>
            </w:rPr>
            <w:t>Departmental Liaison Officer</w:t>
          </w:r>
        </w:p>
      </w:tc>
      <w:tc>
        <w:tcPr>
          <w:tcW w:w="5508" w:type="dxa"/>
          <w:vAlign w:val="center"/>
        </w:tcPr>
        <w:p w14:paraId="77201111" w14:textId="3D4DD5F6" w:rsidR="00F52695" w:rsidRDefault="00C7595F" w:rsidP="007026CC">
          <w:pPr>
            <w:jc w:val="center"/>
          </w:pPr>
          <w:r>
            <w:rPr>
              <w:noProof/>
              <w:lang w:val="en-AU" w:eastAsia="en-AU"/>
            </w:rPr>
            <w:drawing>
              <wp:anchor distT="0" distB="0" distL="114300" distR="114300" simplePos="0" relativeHeight="251658240" behindDoc="0" locked="0" layoutInCell="1" allowOverlap="1" wp14:anchorId="6E160792" wp14:editId="138FFB13">
                <wp:simplePos x="0" y="0"/>
                <wp:positionH relativeFrom="column">
                  <wp:posOffset>1988820</wp:posOffset>
                </wp:positionH>
                <wp:positionV relativeFrom="paragraph">
                  <wp:posOffset>-391795</wp:posOffset>
                </wp:positionV>
                <wp:extent cx="2114550" cy="643255"/>
                <wp:effectExtent l="0" t="0" r="0" b="4445"/>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2C4EA18" w14:textId="31A1229D"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7598C"/>
    <w:multiLevelType w:val="hybridMultilevel"/>
    <w:tmpl w:val="2188A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F17D8"/>
    <w:multiLevelType w:val="hybridMultilevel"/>
    <w:tmpl w:val="E206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2B15"/>
    <w:multiLevelType w:val="hybridMultilevel"/>
    <w:tmpl w:val="A5E26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D6C13"/>
    <w:multiLevelType w:val="hybridMultilevel"/>
    <w:tmpl w:val="BB8A5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82113"/>
    <w:multiLevelType w:val="hybridMultilevel"/>
    <w:tmpl w:val="6562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171CB"/>
    <w:multiLevelType w:val="hybridMultilevel"/>
    <w:tmpl w:val="AA9C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507CF9"/>
    <w:multiLevelType w:val="hybridMultilevel"/>
    <w:tmpl w:val="547EB6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574D61"/>
    <w:multiLevelType w:val="hybridMultilevel"/>
    <w:tmpl w:val="00F0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736777"/>
    <w:multiLevelType w:val="hybridMultilevel"/>
    <w:tmpl w:val="FB38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3C2B38"/>
    <w:multiLevelType w:val="hybridMultilevel"/>
    <w:tmpl w:val="7040E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8F6"/>
    <w:multiLevelType w:val="hybridMultilevel"/>
    <w:tmpl w:val="8790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480007"/>
    <w:multiLevelType w:val="hybridMultilevel"/>
    <w:tmpl w:val="74E2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A3146C"/>
    <w:multiLevelType w:val="hybridMultilevel"/>
    <w:tmpl w:val="4E4C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5"/>
  </w:num>
  <w:num w:numId="13">
    <w:abstractNumId w:val="12"/>
  </w:num>
  <w:num w:numId="14">
    <w:abstractNumId w:val="5"/>
  </w:num>
  <w:num w:numId="15">
    <w:abstractNumId w:val="0"/>
  </w:num>
  <w:num w:numId="16">
    <w:abstractNumId w:val="0"/>
  </w:num>
  <w:num w:numId="17">
    <w:abstractNumId w:val="0"/>
  </w:num>
  <w:num w:numId="18">
    <w:abstractNumId w:val="0"/>
  </w:num>
  <w:num w:numId="19">
    <w:abstractNumId w:val="10"/>
  </w:num>
  <w:num w:numId="20">
    <w:abstractNumId w:val="0"/>
  </w:num>
  <w:num w:numId="21">
    <w:abstractNumId w:val="0"/>
  </w:num>
  <w:num w:numId="22">
    <w:abstractNumId w:val="0"/>
  </w:num>
  <w:num w:numId="23">
    <w:abstractNumId w:val="0"/>
  </w:num>
  <w:num w:numId="24">
    <w:abstractNumId w:val="0"/>
  </w:num>
  <w:num w:numId="25">
    <w:abstractNumId w:val="9"/>
  </w:num>
  <w:num w:numId="26">
    <w:abstractNumId w:val="7"/>
  </w:num>
  <w:num w:numId="27">
    <w:abstractNumId w:val="3"/>
  </w:num>
  <w:num w:numId="28">
    <w:abstractNumId w:val="14"/>
  </w:num>
  <w:num w:numId="29">
    <w:abstractNumId w:val="8"/>
  </w:num>
  <w:num w:numId="30">
    <w:abstractNumId w:val="11"/>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313D"/>
    <w:rsid w:val="0001706E"/>
    <w:rsid w:val="000172E5"/>
    <w:rsid w:val="00020023"/>
    <w:rsid w:val="00022223"/>
    <w:rsid w:val="00026543"/>
    <w:rsid w:val="00027E23"/>
    <w:rsid w:val="00030565"/>
    <w:rsid w:val="0003263C"/>
    <w:rsid w:val="00035639"/>
    <w:rsid w:val="0003564E"/>
    <w:rsid w:val="00037FD5"/>
    <w:rsid w:val="000477E1"/>
    <w:rsid w:val="00060B58"/>
    <w:rsid w:val="000645C8"/>
    <w:rsid w:val="00067161"/>
    <w:rsid w:val="00067B1A"/>
    <w:rsid w:val="00067F31"/>
    <w:rsid w:val="00085640"/>
    <w:rsid w:val="000A0464"/>
    <w:rsid w:val="000A2621"/>
    <w:rsid w:val="000C3CC8"/>
    <w:rsid w:val="000D12B3"/>
    <w:rsid w:val="000D4BAB"/>
    <w:rsid w:val="000D799A"/>
    <w:rsid w:val="000E781B"/>
    <w:rsid w:val="000F231F"/>
    <w:rsid w:val="0010400D"/>
    <w:rsid w:val="00104EC7"/>
    <w:rsid w:val="001336E8"/>
    <w:rsid w:val="0013413E"/>
    <w:rsid w:val="00134F5E"/>
    <w:rsid w:val="00153F10"/>
    <w:rsid w:val="0016352B"/>
    <w:rsid w:val="00165754"/>
    <w:rsid w:val="001671DC"/>
    <w:rsid w:val="0017609F"/>
    <w:rsid w:val="0018091E"/>
    <w:rsid w:val="00181137"/>
    <w:rsid w:val="001815E8"/>
    <w:rsid w:val="00185ABC"/>
    <w:rsid w:val="00185D0C"/>
    <w:rsid w:val="00194A32"/>
    <w:rsid w:val="001A00F1"/>
    <w:rsid w:val="001A1AA1"/>
    <w:rsid w:val="001A1EC8"/>
    <w:rsid w:val="001A4F0B"/>
    <w:rsid w:val="001B1F0F"/>
    <w:rsid w:val="001B5DFD"/>
    <w:rsid w:val="001B75A6"/>
    <w:rsid w:val="001C0E5F"/>
    <w:rsid w:val="001C2248"/>
    <w:rsid w:val="001C5166"/>
    <w:rsid w:val="001C5A46"/>
    <w:rsid w:val="001D097C"/>
    <w:rsid w:val="001D250A"/>
    <w:rsid w:val="001D7057"/>
    <w:rsid w:val="001E2792"/>
    <w:rsid w:val="001E27DB"/>
    <w:rsid w:val="001E49B2"/>
    <w:rsid w:val="001F2503"/>
    <w:rsid w:val="00201E8B"/>
    <w:rsid w:val="00205A8A"/>
    <w:rsid w:val="00211F68"/>
    <w:rsid w:val="00226323"/>
    <w:rsid w:val="00237421"/>
    <w:rsid w:val="00240A8E"/>
    <w:rsid w:val="00244BBF"/>
    <w:rsid w:val="00263ACB"/>
    <w:rsid w:val="00264784"/>
    <w:rsid w:val="0028314F"/>
    <w:rsid w:val="00287C54"/>
    <w:rsid w:val="002A583D"/>
    <w:rsid w:val="002A6058"/>
    <w:rsid w:val="002A648F"/>
    <w:rsid w:val="002B0B83"/>
    <w:rsid w:val="002B1F76"/>
    <w:rsid w:val="002C2823"/>
    <w:rsid w:val="002C4A8D"/>
    <w:rsid w:val="002D36BB"/>
    <w:rsid w:val="002E1073"/>
    <w:rsid w:val="00301747"/>
    <w:rsid w:val="0031588B"/>
    <w:rsid w:val="00320693"/>
    <w:rsid w:val="00325E9D"/>
    <w:rsid w:val="00327F5C"/>
    <w:rsid w:val="00340ADC"/>
    <w:rsid w:val="00343491"/>
    <w:rsid w:val="00345199"/>
    <w:rsid w:val="00346D51"/>
    <w:rsid w:val="00351826"/>
    <w:rsid w:val="00366CE7"/>
    <w:rsid w:val="00367F5B"/>
    <w:rsid w:val="00372A99"/>
    <w:rsid w:val="00373737"/>
    <w:rsid w:val="00375289"/>
    <w:rsid w:val="00377118"/>
    <w:rsid w:val="00380D59"/>
    <w:rsid w:val="0038344E"/>
    <w:rsid w:val="00391485"/>
    <w:rsid w:val="0039395B"/>
    <w:rsid w:val="003A2AFA"/>
    <w:rsid w:val="003A3538"/>
    <w:rsid w:val="003A6377"/>
    <w:rsid w:val="003B0F42"/>
    <w:rsid w:val="003B403A"/>
    <w:rsid w:val="003C00FD"/>
    <w:rsid w:val="003C031F"/>
    <w:rsid w:val="003C3E2D"/>
    <w:rsid w:val="003C5EB3"/>
    <w:rsid w:val="003C63C2"/>
    <w:rsid w:val="003C7BE4"/>
    <w:rsid w:val="003D1C0E"/>
    <w:rsid w:val="003D3A5B"/>
    <w:rsid w:val="003D5227"/>
    <w:rsid w:val="003E2663"/>
    <w:rsid w:val="00411F3E"/>
    <w:rsid w:val="0041525E"/>
    <w:rsid w:val="004203B4"/>
    <w:rsid w:val="00421495"/>
    <w:rsid w:val="00436621"/>
    <w:rsid w:val="0044182F"/>
    <w:rsid w:val="00442732"/>
    <w:rsid w:val="004538DB"/>
    <w:rsid w:val="004643DE"/>
    <w:rsid w:val="00466287"/>
    <w:rsid w:val="0046711F"/>
    <w:rsid w:val="0047547E"/>
    <w:rsid w:val="00492AA6"/>
    <w:rsid w:val="004A1EAD"/>
    <w:rsid w:val="004C45E2"/>
    <w:rsid w:val="004D0C22"/>
    <w:rsid w:val="004D27C8"/>
    <w:rsid w:val="004E44A5"/>
    <w:rsid w:val="004E474E"/>
    <w:rsid w:val="004E7F32"/>
    <w:rsid w:val="004F7A99"/>
    <w:rsid w:val="00502DBF"/>
    <w:rsid w:val="005141BE"/>
    <w:rsid w:val="00514E33"/>
    <w:rsid w:val="0051650B"/>
    <w:rsid w:val="00521D19"/>
    <w:rsid w:val="00523CFF"/>
    <w:rsid w:val="00527FCF"/>
    <w:rsid w:val="005307BA"/>
    <w:rsid w:val="005321AC"/>
    <w:rsid w:val="00543EA2"/>
    <w:rsid w:val="00545AC6"/>
    <w:rsid w:val="00550E00"/>
    <w:rsid w:val="00551038"/>
    <w:rsid w:val="00584D52"/>
    <w:rsid w:val="00590278"/>
    <w:rsid w:val="0059035B"/>
    <w:rsid w:val="005B10E1"/>
    <w:rsid w:val="005B5053"/>
    <w:rsid w:val="005C3BCE"/>
    <w:rsid w:val="005C7AF5"/>
    <w:rsid w:val="005D0898"/>
    <w:rsid w:val="005D71EA"/>
    <w:rsid w:val="005E121E"/>
    <w:rsid w:val="005E6C59"/>
    <w:rsid w:val="005E75FC"/>
    <w:rsid w:val="005F5FD1"/>
    <w:rsid w:val="005F7EE8"/>
    <w:rsid w:val="006022B4"/>
    <w:rsid w:val="00603D53"/>
    <w:rsid w:val="006106D6"/>
    <w:rsid w:val="00612673"/>
    <w:rsid w:val="00612AFA"/>
    <w:rsid w:val="00614552"/>
    <w:rsid w:val="00621D45"/>
    <w:rsid w:val="00623950"/>
    <w:rsid w:val="00626492"/>
    <w:rsid w:val="0062696B"/>
    <w:rsid w:val="00627142"/>
    <w:rsid w:val="0063544E"/>
    <w:rsid w:val="00651009"/>
    <w:rsid w:val="006538BF"/>
    <w:rsid w:val="006564EF"/>
    <w:rsid w:val="00666087"/>
    <w:rsid w:val="0067081B"/>
    <w:rsid w:val="00674D0B"/>
    <w:rsid w:val="00674D4C"/>
    <w:rsid w:val="00676865"/>
    <w:rsid w:val="00683870"/>
    <w:rsid w:val="006A16EB"/>
    <w:rsid w:val="006A2280"/>
    <w:rsid w:val="006B723B"/>
    <w:rsid w:val="006C2473"/>
    <w:rsid w:val="006C4218"/>
    <w:rsid w:val="006D1FBC"/>
    <w:rsid w:val="006D3B35"/>
    <w:rsid w:val="006D411D"/>
    <w:rsid w:val="006E12E3"/>
    <w:rsid w:val="006E28E7"/>
    <w:rsid w:val="006E5470"/>
    <w:rsid w:val="006F2A05"/>
    <w:rsid w:val="006F5200"/>
    <w:rsid w:val="006F6652"/>
    <w:rsid w:val="006F7124"/>
    <w:rsid w:val="00701F8B"/>
    <w:rsid w:val="007026CC"/>
    <w:rsid w:val="007041EA"/>
    <w:rsid w:val="007249EC"/>
    <w:rsid w:val="00725730"/>
    <w:rsid w:val="007334B5"/>
    <w:rsid w:val="00735B28"/>
    <w:rsid w:val="00735E89"/>
    <w:rsid w:val="00742966"/>
    <w:rsid w:val="007473CF"/>
    <w:rsid w:val="00750D74"/>
    <w:rsid w:val="00753EEE"/>
    <w:rsid w:val="00767553"/>
    <w:rsid w:val="007736B4"/>
    <w:rsid w:val="00773975"/>
    <w:rsid w:val="00776DCB"/>
    <w:rsid w:val="00780299"/>
    <w:rsid w:val="007862DE"/>
    <w:rsid w:val="00786A0F"/>
    <w:rsid w:val="00792A3E"/>
    <w:rsid w:val="00794CC1"/>
    <w:rsid w:val="00794E0E"/>
    <w:rsid w:val="007B7C1F"/>
    <w:rsid w:val="007C21C8"/>
    <w:rsid w:val="007C6D83"/>
    <w:rsid w:val="007D0E2E"/>
    <w:rsid w:val="007D37CF"/>
    <w:rsid w:val="007E2FB7"/>
    <w:rsid w:val="007F3E96"/>
    <w:rsid w:val="00805561"/>
    <w:rsid w:val="00806FE1"/>
    <w:rsid w:val="00807ED1"/>
    <w:rsid w:val="00817B11"/>
    <w:rsid w:val="008203EE"/>
    <w:rsid w:val="008267A0"/>
    <w:rsid w:val="0083547C"/>
    <w:rsid w:val="0084750C"/>
    <w:rsid w:val="008476E6"/>
    <w:rsid w:val="0085706D"/>
    <w:rsid w:val="00860904"/>
    <w:rsid w:val="00862454"/>
    <w:rsid w:val="00884003"/>
    <w:rsid w:val="008A0EBB"/>
    <w:rsid w:val="008A13AC"/>
    <w:rsid w:val="008A1EA8"/>
    <w:rsid w:val="008A3BCC"/>
    <w:rsid w:val="008B74C1"/>
    <w:rsid w:val="008C0B4D"/>
    <w:rsid w:val="008C37C8"/>
    <w:rsid w:val="008D7766"/>
    <w:rsid w:val="008E08E3"/>
    <w:rsid w:val="00902EC0"/>
    <w:rsid w:val="009033A6"/>
    <w:rsid w:val="009074FB"/>
    <w:rsid w:val="009077E2"/>
    <w:rsid w:val="00910F45"/>
    <w:rsid w:val="0091114A"/>
    <w:rsid w:val="00911725"/>
    <w:rsid w:val="0091785F"/>
    <w:rsid w:val="00925FD8"/>
    <w:rsid w:val="009351E9"/>
    <w:rsid w:val="009403DF"/>
    <w:rsid w:val="00940C04"/>
    <w:rsid w:val="00957666"/>
    <w:rsid w:val="00964A6C"/>
    <w:rsid w:val="00970179"/>
    <w:rsid w:val="00977E40"/>
    <w:rsid w:val="009802DE"/>
    <w:rsid w:val="00985984"/>
    <w:rsid w:val="00994DCE"/>
    <w:rsid w:val="0099587E"/>
    <w:rsid w:val="009979FA"/>
    <w:rsid w:val="009A7D5D"/>
    <w:rsid w:val="009B3103"/>
    <w:rsid w:val="009C12FA"/>
    <w:rsid w:val="009D72FE"/>
    <w:rsid w:val="009D747B"/>
    <w:rsid w:val="009D7598"/>
    <w:rsid w:val="009D7F4A"/>
    <w:rsid w:val="009E6915"/>
    <w:rsid w:val="00A00C30"/>
    <w:rsid w:val="00A02AEF"/>
    <w:rsid w:val="00A07269"/>
    <w:rsid w:val="00A14A03"/>
    <w:rsid w:val="00A16B07"/>
    <w:rsid w:val="00A2122C"/>
    <w:rsid w:val="00A41E4E"/>
    <w:rsid w:val="00A4412E"/>
    <w:rsid w:val="00A47353"/>
    <w:rsid w:val="00A52FAB"/>
    <w:rsid w:val="00A73C38"/>
    <w:rsid w:val="00A77B0C"/>
    <w:rsid w:val="00A83643"/>
    <w:rsid w:val="00A83932"/>
    <w:rsid w:val="00A85305"/>
    <w:rsid w:val="00A8686E"/>
    <w:rsid w:val="00A8732A"/>
    <w:rsid w:val="00A95F6F"/>
    <w:rsid w:val="00A96DE4"/>
    <w:rsid w:val="00A970A2"/>
    <w:rsid w:val="00AA05D0"/>
    <w:rsid w:val="00AA4E14"/>
    <w:rsid w:val="00AB03CB"/>
    <w:rsid w:val="00AB120A"/>
    <w:rsid w:val="00AB1E44"/>
    <w:rsid w:val="00AB50E4"/>
    <w:rsid w:val="00AC1AF9"/>
    <w:rsid w:val="00AC742D"/>
    <w:rsid w:val="00AC7DC9"/>
    <w:rsid w:val="00AE14D7"/>
    <w:rsid w:val="00AE1EE6"/>
    <w:rsid w:val="00AF01AC"/>
    <w:rsid w:val="00AF7D0C"/>
    <w:rsid w:val="00B0574B"/>
    <w:rsid w:val="00B2037F"/>
    <w:rsid w:val="00B2042F"/>
    <w:rsid w:val="00B32691"/>
    <w:rsid w:val="00B407F6"/>
    <w:rsid w:val="00B635E3"/>
    <w:rsid w:val="00B72B4F"/>
    <w:rsid w:val="00B835C0"/>
    <w:rsid w:val="00B876AF"/>
    <w:rsid w:val="00BA759E"/>
    <w:rsid w:val="00BB532F"/>
    <w:rsid w:val="00BC162D"/>
    <w:rsid w:val="00BC2FE4"/>
    <w:rsid w:val="00BC3F9D"/>
    <w:rsid w:val="00BD4DDA"/>
    <w:rsid w:val="00BD6855"/>
    <w:rsid w:val="00BE481B"/>
    <w:rsid w:val="00BE4EAE"/>
    <w:rsid w:val="00C03AFD"/>
    <w:rsid w:val="00C120ED"/>
    <w:rsid w:val="00C1546B"/>
    <w:rsid w:val="00C271F9"/>
    <w:rsid w:val="00C30C55"/>
    <w:rsid w:val="00C517B6"/>
    <w:rsid w:val="00C5410A"/>
    <w:rsid w:val="00C60CEA"/>
    <w:rsid w:val="00C63F0F"/>
    <w:rsid w:val="00C70197"/>
    <w:rsid w:val="00C70636"/>
    <w:rsid w:val="00C70842"/>
    <w:rsid w:val="00C7595F"/>
    <w:rsid w:val="00C84B2E"/>
    <w:rsid w:val="00CA39AF"/>
    <w:rsid w:val="00CA6EFB"/>
    <w:rsid w:val="00CB6BD2"/>
    <w:rsid w:val="00CC76F2"/>
    <w:rsid w:val="00CE105E"/>
    <w:rsid w:val="00CE1E5E"/>
    <w:rsid w:val="00CF5DC5"/>
    <w:rsid w:val="00D05FCC"/>
    <w:rsid w:val="00D263FF"/>
    <w:rsid w:val="00D45893"/>
    <w:rsid w:val="00D55E55"/>
    <w:rsid w:val="00D663ED"/>
    <w:rsid w:val="00D67A17"/>
    <w:rsid w:val="00D74882"/>
    <w:rsid w:val="00D759EE"/>
    <w:rsid w:val="00D81423"/>
    <w:rsid w:val="00D86290"/>
    <w:rsid w:val="00D956AA"/>
    <w:rsid w:val="00DA543F"/>
    <w:rsid w:val="00DA66AF"/>
    <w:rsid w:val="00DB08E9"/>
    <w:rsid w:val="00DC0173"/>
    <w:rsid w:val="00DC11EA"/>
    <w:rsid w:val="00DC4056"/>
    <w:rsid w:val="00DE2472"/>
    <w:rsid w:val="00DE58C6"/>
    <w:rsid w:val="00DE6C80"/>
    <w:rsid w:val="00DF1540"/>
    <w:rsid w:val="00DF5EB4"/>
    <w:rsid w:val="00E25470"/>
    <w:rsid w:val="00E2743A"/>
    <w:rsid w:val="00E27471"/>
    <w:rsid w:val="00E44126"/>
    <w:rsid w:val="00E44564"/>
    <w:rsid w:val="00E72D70"/>
    <w:rsid w:val="00E74BE6"/>
    <w:rsid w:val="00E80A46"/>
    <w:rsid w:val="00E83B02"/>
    <w:rsid w:val="00E85FA0"/>
    <w:rsid w:val="00E87997"/>
    <w:rsid w:val="00E95F38"/>
    <w:rsid w:val="00EA04F4"/>
    <w:rsid w:val="00EA7A67"/>
    <w:rsid w:val="00EB1BBC"/>
    <w:rsid w:val="00EB2AB0"/>
    <w:rsid w:val="00EC0B04"/>
    <w:rsid w:val="00EC4A51"/>
    <w:rsid w:val="00EC5C1D"/>
    <w:rsid w:val="00ED176B"/>
    <w:rsid w:val="00ED4F83"/>
    <w:rsid w:val="00ED7735"/>
    <w:rsid w:val="00F05C2C"/>
    <w:rsid w:val="00F31B35"/>
    <w:rsid w:val="00F339CD"/>
    <w:rsid w:val="00F33A43"/>
    <w:rsid w:val="00F41650"/>
    <w:rsid w:val="00F47143"/>
    <w:rsid w:val="00F47FFB"/>
    <w:rsid w:val="00F52695"/>
    <w:rsid w:val="00F665FB"/>
    <w:rsid w:val="00F8450F"/>
    <w:rsid w:val="00F9569D"/>
    <w:rsid w:val="00FA2DD1"/>
    <w:rsid w:val="00FC306C"/>
    <w:rsid w:val="00FC6457"/>
    <w:rsid w:val="00FC7E36"/>
    <w:rsid w:val="00FD3076"/>
    <w:rsid w:val="00FD46BA"/>
    <w:rsid w:val="00FD763F"/>
    <w:rsid w:val="00FE1CBC"/>
    <w:rsid w:val="00FE2E58"/>
    <w:rsid w:val="00FE4855"/>
    <w:rsid w:val="00FE5458"/>
    <w:rsid w:val="00FE5AEA"/>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9441"/>
  <w15:docId w15:val="{A32965B1-FE90-4835-8774-BFF76E98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627142"/>
  </w:style>
  <w:style w:type="paragraph" w:customStyle="1" w:styleId="Default">
    <w:name w:val="Default"/>
    <w:rsid w:val="006106D6"/>
    <w:pPr>
      <w:autoSpaceDE w:val="0"/>
      <w:autoSpaceDN w:val="0"/>
      <w:adjustRightInd w:val="0"/>
      <w:spacing w:after="0" w:line="240" w:lineRule="auto"/>
    </w:pPr>
    <w:rPr>
      <w:rFonts w:cs="Arial"/>
      <w:color w:val="000000"/>
      <w:sz w:val="24"/>
      <w:szCs w:val="24"/>
      <w:lang w:val="en-AU"/>
    </w:rPr>
  </w:style>
  <w:style w:type="character" w:styleId="FollowedHyperlink">
    <w:name w:val="FollowedHyperlink"/>
    <w:basedOn w:val="DefaultParagraphFont"/>
    <w:uiPriority w:val="99"/>
    <w:semiHidden/>
    <w:unhideWhenUsed/>
    <w:rsid w:val="008A1EA8"/>
    <w:rPr>
      <w:color w:val="800080" w:themeColor="followedHyperlink"/>
      <w:u w:val="single"/>
    </w:rPr>
  </w:style>
  <w:style w:type="paragraph" w:customStyle="1" w:styleId="Pa18">
    <w:name w:val="Pa18"/>
    <w:basedOn w:val="Default"/>
    <w:next w:val="Default"/>
    <w:uiPriority w:val="99"/>
    <w:rsid w:val="008A1EA8"/>
    <w:pPr>
      <w:spacing w:line="161" w:lineRule="atLeast"/>
    </w:pPr>
    <w:rPr>
      <w:rFonts w:ascii="Rooney" w:hAnsi="Rooney" w:cstheme="minorBidi"/>
      <w:color w:val="auto"/>
    </w:rPr>
  </w:style>
  <w:style w:type="character" w:customStyle="1" w:styleId="UnresolvedMention1">
    <w:name w:val="Unresolved Mention1"/>
    <w:basedOn w:val="DefaultParagraphFont"/>
    <w:uiPriority w:val="99"/>
    <w:semiHidden/>
    <w:unhideWhenUsed/>
    <w:rsid w:val="007334B5"/>
    <w:rPr>
      <w:color w:val="605E5C"/>
      <w:shd w:val="clear" w:color="auto" w:fill="E1DFDD"/>
    </w:rPr>
  </w:style>
  <w:style w:type="paragraph" w:styleId="PlainText">
    <w:name w:val="Plain Text"/>
    <w:basedOn w:val="Normal"/>
    <w:link w:val="PlainTextChar"/>
    <w:uiPriority w:val="99"/>
    <w:unhideWhenUsed/>
    <w:rsid w:val="00750D7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50D74"/>
    <w:rPr>
      <w:rFonts w:ascii="Calibri" w:eastAsiaTheme="minorHAnsi" w:hAnsi="Calibri"/>
      <w:szCs w:val="21"/>
      <w:lang w:val="en-AU"/>
    </w:rPr>
  </w:style>
  <w:style w:type="character" w:styleId="CommentReference">
    <w:name w:val="annotation reference"/>
    <w:basedOn w:val="DefaultParagraphFont"/>
    <w:uiPriority w:val="99"/>
    <w:semiHidden/>
    <w:unhideWhenUsed/>
    <w:rsid w:val="00C1546B"/>
    <w:rPr>
      <w:sz w:val="16"/>
      <w:szCs w:val="16"/>
    </w:rPr>
  </w:style>
  <w:style w:type="paragraph" w:styleId="CommentText">
    <w:name w:val="annotation text"/>
    <w:basedOn w:val="Normal"/>
    <w:link w:val="CommentTextChar"/>
    <w:uiPriority w:val="99"/>
    <w:unhideWhenUsed/>
    <w:rsid w:val="00C1546B"/>
    <w:pPr>
      <w:spacing w:line="240" w:lineRule="auto"/>
    </w:pPr>
    <w:rPr>
      <w:sz w:val="20"/>
      <w:szCs w:val="20"/>
    </w:rPr>
  </w:style>
  <w:style w:type="character" w:customStyle="1" w:styleId="CommentTextChar">
    <w:name w:val="Comment Text Char"/>
    <w:basedOn w:val="DefaultParagraphFont"/>
    <w:link w:val="CommentText"/>
    <w:uiPriority w:val="99"/>
    <w:rsid w:val="00C1546B"/>
    <w:rPr>
      <w:sz w:val="20"/>
      <w:szCs w:val="20"/>
    </w:rPr>
  </w:style>
  <w:style w:type="paragraph" w:styleId="CommentSubject">
    <w:name w:val="annotation subject"/>
    <w:basedOn w:val="CommentText"/>
    <w:next w:val="CommentText"/>
    <w:link w:val="CommentSubjectChar"/>
    <w:uiPriority w:val="99"/>
    <w:semiHidden/>
    <w:unhideWhenUsed/>
    <w:rsid w:val="00C1546B"/>
    <w:rPr>
      <w:b/>
      <w:bCs/>
    </w:rPr>
  </w:style>
  <w:style w:type="character" w:customStyle="1" w:styleId="CommentSubjectChar">
    <w:name w:val="Comment Subject Char"/>
    <w:basedOn w:val="CommentTextChar"/>
    <w:link w:val="CommentSubject"/>
    <w:uiPriority w:val="99"/>
    <w:semiHidden/>
    <w:rsid w:val="00C1546B"/>
    <w:rPr>
      <w:b/>
      <w:bCs/>
      <w:sz w:val="20"/>
      <w:szCs w:val="20"/>
    </w:rPr>
  </w:style>
  <w:style w:type="character" w:customStyle="1" w:styleId="UnresolvedMention2">
    <w:name w:val="Unresolved Mention2"/>
    <w:basedOn w:val="DefaultParagraphFont"/>
    <w:uiPriority w:val="99"/>
    <w:semiHidden/>
    <w:unhideWhenUsed/>
    <w:rsid w:val="003C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4312797A93FC47B06BF6CA7898F6AD" ma:contentTypeVersion="15" ma:contentTypeDescription="Create a new document." ma:contentTypeScope="" ma:versionID="bc92416b2f3122b3ee82df5a8307e8d2">
  <xsd:schema xmlns:xsd="http://www.w3.org/2001/XMLSchema" xmlns:xs="http://www.w3.org/2001/XMLSchema" xmlns:p="http://schemas.microsoft.com/office/2006/metadata/properties" xmlns:ns2="d0d4d85d-0974-4be1-903f-efe096a5ab6b" xmlns:ns3="79722e6c-4d3a-40dc-ab35-27986119929f" targetNamespace="http://schemas.microsoft.com/office/2006/metadata/properties" ma:root="true" ma:fieldsID="996799efd6997fb74127b5771f8da892" ns2:_="" ns3:_="">
    <xsd:import namespace="d0d4d85d-0974-4be1-903f-efe096a5ab6b"/>
    <xsd:import namespace="79722e6c-4d3a-40dc-ab35-279861199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d85d-0974-4be1-903f-efe096a5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22e6c-4d3a-40dc-ab35-2798611992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de61f1-cbd8-43e3-837f-32e8211347e2}" ma:internalName="TaxCatchAll" ma:showField="CatchAllData" ma:web="79722e6c-4d3a-40dc-ab35-2798611992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4d85d-0974-4be1-903f-efe096a5ab6b">
      <Terms xmlns="http://schemas.microsoft.com/office/infopath/2007/PartnerControls"/>
    </lcf76f155ced4ddcb4097134ff3c332f>
    <TaxCatchAll xmlns="79722e6c-4d3a-40dc-ab35-27986119929f" xsi:nil="true"/>
  </documentManagement>
</p:properties>
</file>

<file path=customXml/itemProps1.xml><?xml version="1.0" encoding="utf-8"?>
<ds:datastoreItem xmlns:ds="http://schemas.openxmlformats.org/officeDocument/2006/customXml" ds:itemID="{B0E71CBD-87DB-492A-BCD3-C843A45DBAAD}">
  <ds:schemaRefs>
    <ds:schemaRef ds:uri="http://schemas.openxmlformats.org/officeDocument/2006/bibliography"/>
  </ds:schemaRefs>
</ds:datastoreItem>
</file>

<file path=customXml/itemProps2.xml><?xml version="1.0" encoding="utf-8"?>
<ds:datastoreItem xmlns:ds="http://schemas.openxmlformats.org/officeDocument/2006/customXml" ds:itemID="{60DC2370-1A5B-49AF-B158-7F27A2FDBA85}"/>
</file>

<file path=customXml/itemProps3.xml><?xml version="1.0" encoding="utf-8"?>
<ds:datastoreItem xmlns:ds="http://schemas.openxmlformats.org/officeDocument/2006/customXml" ds:itemID="{73858E42-D67D-4235-A3F0-7000B9A68181}"/>
</file>

<file path=customXml/itemProps4.xml><?xml version="1.0" encoding="utf-8"?>
<ds:datastoreItem xmlns:ds="http://schemas.openxmlformats.org/officeDocument/2006/customXml" ds:itemID="{534774C2-EDE8-4648-85F3-9DB4392E2FAF}"/>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1850</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Lisa Cedres</cp:lastModifiedBy>
  <cp:revision>2</cp:revision>
  <cp:lastPrinted>2020-09-21T02:22:00Z</cp:lastPrinted>
  <dcterms:created xsi:type="dcterms:W3CDTF">2023-02-07T05:56:00Z</dcterms:created>
  <dcterms:modified xsi:type="dcterms:W3CDTF">2023-02-07T05:56:00Z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A3047005</vt:lpwstr>
  </property>
  <property fmtid="{D5CDD505-2E9C-101B-9397-08002B2CF9AE}" pid="4" name="Objective-Title">
    <vt:lpwstr>ccr psa DRAFT Senior Project Officer RD 20150715</vt:lpwstr>
  </property>
  <property fmtid="{D5CDD505-2E9C-101B-9397-08002B2CF9AE}" pid="5" name="Objective-Comment">
    <vt:lpwstr>approved role </vt:lpwstr>
  </property>
  <property fmtid="{D5CDD505-2E9C-101B-9397-08002B2CF9AE}" pid="6" name="Objective-CreationStamp">
    <vt:filetime>2015-09-23T04:09:40Z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2015-09-30T02:06:43Z</vt:filetime>
  </property>
  <property fmtid="{D5CDD505-2E9C-101B-9397-08002B2CF9AE}" pid="10" name="Objective-ModificationStamp">
    <vt:filetime>2015-09-30T02:06:45Z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0x010100D64312797A93FC47B06BF6CA7898F6AD</vt:lpwstr>
  </property>
</Properties>
</file>