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798a3e9b5a2548b8"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A5B29A0" w14:textId="0442B8DE" w:rsidR="00D64474" w:rsidRPr="000C453F" w:rsidRDefault="00CB1DBE" w:rsidP="00D64474">
      <w:pPr>
        <w:pStyle w:val="Heading1"/>
        <w:tabs>
          <w:tab w:val="left" w:pos="720"/>
          <w:tab w:val="left" w:pos="1440"/>
          <w:tab w:val="left" w:pos="2160"/>
          <w:tab w:val="left" w:pos="2880"/>
          <w:tab w:val="left" w:pos="3600"/>
          <w:tab w:val="right" w:pos="10348"/>
        </w:tabs>
      </w:pPr>
      <w:r>
        <w:rPr>
          <w:noProof/>
          <w:lang w:eastAsia="en-AU"/>
        </w:rPr>
        <w:drawing>
          <wp:anchor distT="0" distB="0" distL="114300" distR="114300" simplePos="0" relativeHeight="251658240" behindDoc="0" locked="0" layoutInCell="1" allowOverlap="1" wp14:anchorId="0115D9CF" wp14:editId="3D13C964">
            <wp:simplePos x="0" y="0"/>
            <wp:positionH relativeFrom="column">
              <wp:posOffset>4066852</wp:posOffset>
            </wp:positionH>
            <wp:positionV relativeFrom="paragraph">
              <wp:posOffset>322</wp:posOffset>
            </wp:positionV>
            <wp:extent cx="2542540" cy="670560"/>
            <wp:effectExtent l="0" t="0" r="0" b="0"/>
            <wp:wrapThrough wrapText="bothSides">
              <wp:wrapPolygon edited="0">
                <wp:start x="0" y="0"/>
                <wp:lineTo x="0" y="20864"/>
                <wp:lineTo x="21363" y="20864"/>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670560"/>
                    </a:xfrm>
                    <a:prstGeom prst="rect">
                      <a:avLst/>
                    </a:prstGeom>
                    <a:noFill/>
                  </pic:spPr>
                </pic:pic>
              </a:graphicData>
            </a:graphic>
          </wp:anchor>
        </w:drawing>
      </w:r>
      <w:r w:rsidR="00D64474" w:rsidRPr="000C453F">
        <w:t>Role Description</w:t>
      </w:r>
    </w:p>
    <w:p w14:paraId="5658A57B" w14:textId="56E31220" w:rsidR="00D64474" w:rsidRDefault="008B61FB" w:rsidP="00076EAB">
      <w:pPr>
        <w:pStyle w:val="Heading1"/>
        <w:tabs>
          <w:tab w:val="right" w:pos="10206"/>
        </w:tabs>
        <w:spacing w:after="120"/>
      </w:pPr>
      <w:r>
        <w:t>Visitor Services Coordinator</w:t>
      </w:r>
      <w:r w:rsidR="007C2FA8">
        <w:t xml:space="preserve"> – </w:t>
      </w:r>
      <w:proofErr w:type="spellStart"/>
      <w:r w:rsidR="007C2FA8">
        <w:t>Worimi</w:t>
      </w:r>
      <w:proofErr w:type="spellEnd"/>
      <w:r w:rsidR="007C2FA8">
        <w:t xml:space="preserve"> Conservation Lands</w:t>
      </w:r>
    </w:p>
    <w:p w14:paraId="21D14F07"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DA6BE6" w:rsidRPr="00C978B9" w14:paraId="1EDFF2AA"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5C5AA1FF" w14:textId="77777777" w:rsidR="00DA6BE6" w:rsidRPr="00853F21" w:rsidRDefault="00DA6BE6" w:rsidP="003E0D69">
            <w:pPr>
              <w:pStyle w:val="TableTextWhite"/>
              <w:rPr>
                <w:b/>
              </w:rPr>
            </w:pPr>
            <w:r w:rsidRPr="00853F21">
              <w:rPr>
                <w:b/>
              </w:rPr>
              <w:t>Cluster</w:t>
            </w:r>
          </w:p>
        </w:tc>
        <w:tc>
          <w:tcPr>
            <w:tcW w:w="6530" w:type="dxa"/>
          </w:tcPr>
          <w:p w14:paraId="1C05A036" w14:textId="77E4A215" w:rsidR="00DA6BE6" w:rsidRPr="008D58ED" w:rsidRDefault="004A3696" w:rsidP="003E0D69">
            <w:pPr>
              <w:pStyle w:val="TableTextWhite"/>
              <w:rPr>
                <w:bCs/>
              </w:rPr>
            </w:pPr>
            <w:r w:rsidRPr="008D58ED">
              <w:rPr>
                <w:bCs/>
              </w:rPr>
              <w:t>Planning</w:t>
            </w:r>
            <w:r w:rsidR="00CB1DBE" w:rsidRPr="008D58ED">
              <w:rPr>
                <w:bCs/>
              </w:rPr>
              <w:t xml:space="preserve"> </w:t>
            </w:r>
            <w:r w:rsidRPr="008D58ED">
              <w:rPr>
                <w:bCs/>
              </w:rPr>
              <w:t>and Environment</w:t>
            </w:r>
          </w:p>
        </w:tc>
      </w:tr>
      <w:tr w:rsidR="00DA6BE6" w:rsidRPr="00C978B9" w14:paraId="121B378D" w14:textId="77777777" w:rsidTr="00103875">
        <w:trPr>
          <w:cantSplit/>
        </w:trPr>
        <w:tc>
          <w:tcPr>
            <w:tcW w:w="4026" w:type="dxa"/>
            <w:vAlign w:val="center"/>
          </w:tcPr>
          <w:p w14:paraId="106D1C55"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44E4A1AD" w14:textId="77777777" w:rsidR="00DA6BE6" w:rsidRPr="008D58ED" w:rsidRDefault="004A3696" w:rsidP="003E0D69">
            <w:pPr>
              <w:pStyle w:val="TableTextWhite"/>
              <w:rPr>
                <w:bCs/>
              </w:rPr>
            </w:pPr>
            <w:r w:rsidRPr="008D58ED">
              <w:rPr>
                <w:bCs/>
              </w:rPr>
              <w:t>Department of Planning and Environment</w:t>
            </w:r>
          </w:p>
        </w:tc>
      </w:tr>
      <w:tr w:rsidR="00DA6BE6" w:rsidRPr="00C978B9" w14:paraId="715C4D30" w14:textId="77777777" w:rsidTr="00103875">
        <w:trPr>
          <w:cantSplit/>
        </w:trPr>
        <w:tc>
          <w:tcPr>
            <w:tcW w:w="4026" w:type="dxa"/>
            <w:vAlign w:val="center"/>
          </w:tcPr>
          <w:p w14:paraId="392EDD90" w14:textId="77777777" w:rsidR="00DA6BE6" w:rsidRPr="00853F21" w:rsidRDefault="00DA6BE6" w:rsidP="003E0D69">
            <w:pPr>
              <w:pStyle w:val="TableTextWhite"/>
              <w:rPr>
                <w:b/>
              </w:rPr>
            </w:pPr>
            <w:r w:rsidRPr="00853F21">
              <w:rPr>
                <w:b/>
              </w:rPr>
              <w:t>Division/Branch/Unit</w:t>
            </w:r>
          </w:p>
        </w:tc>
        <w:tc>
          <w:tcPr>
            <w:tcW w:w="6530" w:type="dxa"/>
          </w:tcPr>
          <w:p w14:paraId="55F69FC6" w14:textId="77777777" w:rsidR="00DA6BE6" w:rsidRPr="008D58ED" w:rsidRDefault="004A3696" w:rsidP="003E0D69">
            <w:pPr>
              <w:pStyle w:val="TableTextWhite"/>
              <w:rPr>
                <w:bCs/>
              </w:rPr>
            </w:pPr>
            <w:r w:rsidRPr="008D58ED">
              <w:rPr>
                <w:bCs/>
              </w:rPr>
              <w:t>Environment and Heritage / National Parks and Wildlife Services</w:t>
            </w:r>
          </w:p>
        </w:tc>
      </w:tr>
      <w:tr w:rsidR="004A3696" w:rsidRPr="00C978B9" w14:paraId="1ECCEB5C" w14:textId="77777777" w:rsidTr="00103875">
        <w:trPr>
          <w:cantSplit/>
        </w:trPr>
        <w:tc>
          <w:tcPr>
            <w:tcW w:w="4026" w:type="dxa"/>
            <w:vAlign w:val="center"/>
          </w:tcPr>
          <w:p w14:paraId="7D0A179B" w14:textId="77777777" w:rsidR="004A3696" w:rsidRPr="00853F21" w:rsidRDefault="004A3696" w:rsidP="003E0D69">
            <w:pPr>
              <w:pStyle w:val="TableTextWhite"/>
              <w:rPr>
                <w:b/>
              </w:rPr>
            </w:pPr>
            <w:r w:rsidRPr="004A3696">
              <w:rPr>
                <w:b/>
              </w:rPr>
              <w:t>Role number</w:t>
            </w:r>
          </w:p>
        </w:tc>
        <w:tc>
          <w:tcPr>
            <w:tcW w:w="6530" w:type="dxa"/>
          </w:tcPr>
          <w:p w14:paraId="0738882D" w14:textId="76D62C77" w:rsidR="004A3696" w:rsidRPr="008D58ED" w:rsidRDefault="008D58ED" w:rsidP="003E0D69">
            <w:pPr>
              <w:pStyle w:val="TableTextWhite"/>
              <w:rPr>
                <w:bCs/>
              </w:rPr>
            </w:pPr>
            <w:r w:rsidRPr="008D58ED">
              <w:rPr>
                <w:bCs/>
              </w:rPr>
              <w:t>Generic</w:t>
            </w:r>
          </w:p>
        </w:tc>
      </w:tr>
      <w:tr w:rsidR="00DA6BE6" w:rsidRPr="00C978B9" w14:paraId="6B04A42B" w14:textId="77777777" w:rsidTr="00103875">
        <w:trPr>
          <w:cantSplit/>
        </w:trPr>
        <w:tc>
          <w:tcPr>
            <w:tcW w:w="4026" w:type="dxa"/>
            <w:vAlign w:val="center"/>
          </w:tcPr>
          <w:p w14:paraId="366DE710" w14:textId="77777777" w:rsidR="00DA6BE6" w:rsidRPr="00853F21" w:rsidRDefault="00DA6BE6" w:rsidP="003E0D69">
            <w:pPr>
              <w:pStyle w:val="TableTextWhite"/>
              <w:rPr>
                <w:b/>
                <w:color w:val="000000"/>
              </w:rPr>
            </w:pPr>
            <w:r w:rsidRPr="00853F21">
              <w:rPr>
                <w:b/>
              </w:rPr>
              <w:t>Classification/Grade/Band</w:t>
            </w:r>
          </w:p>
        </w:tc>
        <w:tc>
          <w:tcPr>
            <w:tcW w:w="6530" w:type="dxa"/>
          </w:tcPr>
          <w:p w14:paraId="314624F5" w14:textId="6881984F" w:rsidR="00DA6BE6" w:rsidRPr="008D58ED" w:rsidRDefault="004A3696" w:rsidP="003E0D69">
            <w:pPr>
              <w:pStyle w:val="TableTextWhite"/>
              <w:rPr>
                <w:bCs/>
              </w:rPr>
            </w:pPr>
            <w:r w:rsidRPr="008D58ED">
              <w:rPr>
                <w:bCs/>
              </w:rPr>
              <w:t>Clerk Grade 5/6</w:t>
            </w:r>
          </w:p>
        </w:tc>
      </w:tr>
      <w:tr w:rsidR="00DA6BE6" w:rsidRPr="00C978B9" w14:paraId="5C579730" w14:textId="77777777" w:rsidTr="00103875">
        <w:trPr>
          <w:cantSplit/>
        </w:trPr>
        <w:tc>
          <w:tcPr>
            <w:tcW w:w="4026" w:type="dxa"/>
            <w:vAlign w:val="center"/>
          </w:tcPr>
          <w:p w14:paraId="5710A29C" w14:textId="77777777" w:rsidR="00DA6BE6" w:rsidRPr="00853F21" w:rsidRDefault="00DA6BE6" w:rsidP="003E0D69">
            <w:pPr>
              <w:pStyle w:val="TableTextWhite"/>
              <w:rPr>
                <w:b/>
                <w:color w:val="000000"/>
              </w:rPr>
            </w:pPr>
            <w:r w:rsidRPr="00853F21">
              <w:rPr>
                <w:b/>
              </w:rPr>
              <w:t>ANZSCO Code</w:t>
            </w:r>
          </w:p>
        </w:tc>
        <w:tc>
          <w:tcPr>
            <w:tcW w:w="6530" w:type="dxa"/>
          </w:tcPr>
          <w:p w14:paraId="343B2718" w14:textId="77777777" w:rsidR="00DA6BE6" w:rsidRPr="008D58ED" w:rsidRDefault="004A3696" w:rsidP="003E0D69">
            <w:pPr>
              <w:pStyle w:val="TableTextWhite"/>
              <w:rPr>
                <w:bCs/>
              </w:rPr>
            </w:pPr>
            <w:r w:rsidRPr="008D58ED">
              <w:rPr>
                <w:bCs/>
              </w:rPr>
              <w:t>451611</w:t>
            </w:r>
          </w:p>
        </w:tc>
      </w:tr>
      <w:tr w:rsidR="00DA6BE6" w:rsidRPr="00C978B9" w14:paraId="0F816629" w14:textId="77777777" w:rsidTr="00103875">
        <w:trPr>
          <w:cantSplit/>
        </w:trPr>
        <w:tc>
          <w:tcPr>
            <w:tcW w:w="4026" w:type="dxa"/>
            <w:vAlign w:val="center"/>
          </w:tcPr>
          <w:p w14:paraId="274FF39E" w14:textId="77777777" w:rsidR="00DA6BE6" w:rsidRPr="00853F21" w:rsidRDefault="00DA6BE6" w:rsidP="003E0D69">
            <w:pPr>
              <w:pStyle w:val="TableTextWhite"/>
              <w:rPr>
                <w:b/>
                <w:color w:val="000000"/>
              </w:rPr>
            </w:pPr>
            <w:r w:rsidRPr="00853F21">
              <w:rPr>
                <w:b/>
              </w:rPr>
              <w:t>PCAT Code</w:t>
            </w:r>
          </w:p>
        </w:tc>
        <w:tc>
          <w:tcPr>
            <w:tcW w:w="6530" w:type="dxa"/>
          </w:tcPr>
          <w:p w14:paraId="4141AC72" w14:textId="77777777" w:rsidR="00DA6BE6" w:rsidRPr="008D58ED" w:rsidRDefault="004A3696" w:rsidP="003E0D69">
            <w:pPr>
              <w:pStyle w:val="TableTextWhite"/>
              <w:rPr>
                <w:bCs/>
              </w:rPr>
            </w:pPr>
            <w:r w:rsidRPr="008D58ED">
              <w:rPr>
                <w:bCs/>
              </w:rPr>
              <w:t>1119192</w:t>
            </w:r>
          </w:p>
        </w:tc>
      </w:tr>
      <w:tr w:rsidR="00DA6BE6" w:rsidRPr="00C978B9" w14:paraId="51CCCE28" w14:textId="77777777" w:rsidTr="00103875">
        <w:trPr>
          <w:cantSplit/>
        </w:trPr>
        <w:tc>
          <w:tcPr>
            <w:tcW w:w="4026" w:type="dxa"/>
            <w:vAlign w:val="center"/>
          </w:tcPr>
          <w:p w14:paraId="7238F714" w14:textId="77777777" w:rsidR="00DA6BE6" w:rsidRPr="00853F21" w:rsidRDefault="00DA6BE6" w:rsidP="003E0D69">
            <w:pPr>
              <w:pStyle w:val="TableTextWhite"/>
              <w:rPr>
                <w:b/>
                <w:color w:val="000000"/>
              </w:rPr>
            </w:pPr>
            <w:r w:rsidRPr="00853F21">
              <w:rPr>
                <w:b/>
              </w:rPr>
              <w:t>Date of Approval</w:t>
            </w:r>
          </w:p>
        </w:tc>
        <w:tc>
          <w:tcPr>
            <w:tcW w:w="6530" w:type="dxa"/>
          </w:tcPr>
          <w:p w14:paraId="0E6B9F59" w14:textId="4D6A16EF" w:rsidR="00DA6BE6" w:rsidRPr="008D58ED" w:rsidRDefault="004A3696" w:rsidP="003E0D69">
            <w:pPr>
              <w:pStyle w:val="TableTextWhite"/>
              <w:rPr>
                <w:bCs/>
              </w:rPr>
            </w:pPr>
            <w:r w:rsidRPr="008D58ED">
              <w:rPr>
                <w:bCs/>
              </w:rPr>
              <w:t>November 2022</w:t>
            </w:r>
          </w:p>
        </w:tc>
      </w:tr>
      <w:tr w:rsidR="004A3696" w:rsidRPr="00C978B9" w14:paraId="2D29974B" w14:textId="77777777" w:rsidTr="00103875">
        <w:trPr>
          <w:cantSplit/>
        </w:trPr>
        <w:tc>
          <w:tcPr>
            <w:tcW w:w="4026" w:type="dxa"/>
            <w:vAlign w:val="center"/>
          </w:tcPr>
          <w:p w14:paraId="390DB08B" w14:textId="77777777" w:rsidR="004A3696" w:rsidRPr="00853F21" w:rsidRDefault="004A3696" w:rsidP="003E0D69">
            <w:pPr>
              <w:pStyle w:val="TableTextWhite"/>
              <w:rPr>
                <w:b/>
              </w:rPr>
            </w:pPr>
            <w:r w:rsidRPr="004A3696">
              <w:rPr>
                <w:b/>
              </w:rPr>
              <w:t>Agency Website</w:t>
            </w:r>
          </w:p>
        </w:tc>
        <w:tc>
          <w:tcPr>
            <w:tcW w:w="6530" w:type="dxa"/>
          </w:tcPr>
          <w:p w14:paraId="5D3AA06F" w14:textId="5ED4C498" w:rsidR="004A3696" w:rsidRPr="008D58ED" w:rsidRDefault="008D58ED" w:rsidP="003E0D69">
            <w:pPr>
              <w:pStyle w:val="TableTextWhite"/>
              <w:rPr>
                <w:bCs/>
              </w:rPr>
            </w:pPr>
            <w:hyperlink r:id="rId9" w:history="1">
              <w:r w:rsidRPr="008D58ED">
                <w:rPr>
                  <w:rStyle w:val="Hyperlink"/>
                  <w:bCs/>
                  <w:color w:val="FFFFFF" w:themeColor="background1"/>
                </w:rPr>
                <w:t>www.nationalparks.nsw.gov.au</w:t>
              </w:r>
            </w:hyperlink>
            <w:r w:rsidRPr="008D58ED">
              <w:rPr>
                <w:bCs/>
                <w:color w:val="FFFFFF" w:themeColor="background1"/>
              </w:rPr>
              <w:t xml:space="preserve"> &amp; </w:t>
            </w:r>
            <w:hyperlink r:id="rId10" w:history="1">
              <w:r w:rsidRPr="008D58ED">
                <w:rPr>
                  <w:rStyle w:val="Hyperlink"/>
                  <w:bCs/>
                  <w:color w:val="FFFFFF" w:themeColor="background1"/>
                </w:rPr>
                <w:t>www.dpie.nsw.gov.au</w:t>
              </w:r>
            </w:hyperlink>
          </w:p>
        </w:tc>
      </w:tr>
    </w:tbl>
    <w:p w14:paraId="1E8849A2" w14:textId="77777777" w:rsidR="00CB1DBE" w:rsidRPr="00C978B9" w:rsidRDefault="00CB1DBE" w:rsidP="00CB1DBE">
      <w:pPr>
        <w:pStyle w:val="Heading2"/>
      </w:pPr>
      <w:bookmarkStart w:id="1" w:name="_Hlk30003721"/>
      <w:r w:rsidRPr="004A3696">
        <w:t>Agency overview</w:t>
      </w:r>
    </w:p>
    <w:p w14:paraId="6D7D8638" w14:textId="77777777" w:rsidR="00CB1DBE" w:rsidRDefault="00CB1DBE" w:rsidP="00CB1DBE">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392FF4B" w14:textId="6D26E0E5" w:rsidR="00CB1DBE" w:rsidRDefault="00CB1DBE" w:rsidP="00CB1DBE">
      <w:r>
        <w:t>The Environment and Heritage (E</w:t>
      </w:r>
      <w:r w:rsidR="008D58ED">
        <w:t>&amp;</w:t>
      </w:r>
      <w:r>
        <w:t>H)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7B0EB1AD" w14:textId="77777777" w:rsidR="0033077C" w:rsidRDefault="0033077C" w:rsidP="00CB1DBE"/>
    <w:p w14:paraId="395897EB" w14:textId="77777777" w:rsidR="00CB1DBE" w:rsidRDefault="00CB1DBE" w:rsidP="00CB1DBE">
      <w:pPr>
        <w:rPr>
          <w:rFonts w:cs="Arial"/>
          <w:b/>
          <w:bCs/>
          <w:iCs/>
          <w:sz w:val="26"/>
          <w:szCs w:val="28"/>
        </w:rPr>
      </w:pPr>
      <w:r w:rsidRPr="004D07D1">
        <w:rPr>
          <w:rFonts w:cs="Arial"/>
          <w:b/>
          <w:bCs/>
          <w:iCs/>
          <w:sz w:val="26"/>
          <w:szCs w:val="28"/>
        </w:rPr>
        <w:t>National Park</w:t>
      </w:r>
      <w:r>
        <w:rPr>
          <w:rFonts w:cs="Arial"/>
          <w:b/>
          <w:bCs/>
          <w:iCs/>
          <w:sz w:val="26"/>
          <w:szCs w:val="28"/>
        </w:rPr>
        <w:t>s &amp;</w:t>
      </w:r>
      <w:r w:rsidRPr="004D07D1">
        <w:rPr>
          <w:rFonts w:cs="Arial"/>
          <w:b/>
          <w:bCs/>
          <w:iCs/>
          <w:sz w:val="26"/>
          <w:szCs w:val="28"/>
        </w:rPr>
        <w:t xml:space="preserve"> Wildlife Service overview</w:t>
      </w:r>
    </w:p>
    <w:p w14:paraId="1B226120" w14:textId="77777777" w:rsidR="008E7F71" w:rsidRPr="008E7F71" w:rsidRDefault="008E7F71" w:rsidP="008E7F71">
      <w:pPr>
        <w:spacing w:after="0"/>
        <w:rPr>
          <w:rFonts w:cs="Arial"/>
          <w:color w:val="242424"/>
          <w:szCs w:val="22"/>
          <w:shd w:val="clear" w:color="auto" w:fill="FFFFFF"/>
        </w:rPr>
      </w:pPr>
      <w:r w:rsidRPr="008E7F71">
        <w:rPr>
          <w:rFonts w:cs="Arial"/>
          <w:color w:val="242424"/>
          <w:szCs w:val="22"/>
          <w:shd w:val="clear" w:color="auto" w:fill="FFFFFF"/>
        </w:rPr>
        <w:t>National Parks &amp; Wildlife Service (NPWS) is one of the world’s oldest and most respected national parks agencies.  We manage more than 890 national parks and reserves, covering over 7.5 million hectares or 9.5%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w:t>
      </w:r>
    </w:p>
    <w:p w14:paraId="123BBB3E" w14:textId="77777777" w:rsidR="004A3696" w:rsidRPr="00C978B9" w:rsidRDefault="004A3696" w:rsidP="004A3696">
      <w:pPr>
        <w:pStyle w:val="Heading2"/>
      </w:pPr>
      <w:r w:rsidRPr="00C978B9">
        <w:t>Primary purpose of t</w:t>
      </w:r>
      <w:r>
        <w:t>h</w:t>
      </w:r>
      <w:r w:rsidRPr="00C978B9">
        <w:t>e role</w:t>
      </w:r>
    </w:p>
    <w:p w14:paraId="188B0401" w14:textId="77777777" w:rsidR="004A3696" w:rsidRPr="00A55204" w:rsidRDefault="004A3696" w:rsidP="00FB27B0">
      <w:pPr>
        <w:rPr>
          <w:bCs/>
          <w:lang w:eastAsia="en-AU"/>
        </w:rPr>
      </w:pPr>
      <w:r>
        <w:t xml:space="preserve">Coordinate, monitor and improve visitor activities within the </w:t>
      </w:r>
      <w:proofErr w:type="spellStart"/>
      <w:r>
        <w:t>Worimi</w:t>
      </w:r>
      <w:proofErr w:type="spellEnd"/>
      <w:r>
        <w:t xml:space="preserve"> Conservation Lands to improve visitors’ understanding of this unique cultural landscape.</w:t>
      </w:r>
    </w:p>
    <w:bookmarkEnd w:id="1"/>
    <w:p w14:paraId="282562F8" w14:textId="77777777" w:rsidR="00057CB3" w:rsidRPr="00980BCA" w:rsidRDefault="00057CB3" w:rsidP="000C453F">
      <w:pPr>
        <w:pStyle w:val="Heading2"/>
      </w:pPr>
      <w:r w:rsidRPr="00980BCA">
        <w:t xml:space="preserve">Key </w:t>
      </w:r>
      <w:r w:rsidR="00043B92" w:rsidRPr="00980BCA">
        <w:t>a</w:t>
      </w:r>
      <w:r w:rsidRPr="00980BCA">
        <w:t>ccountabilities</w:t>
      </w:r>
    </w:p>
    <w:p w14:paraId="3D529E4F" w14:textId="77777777" w:rsidR="00B50F90" w:rsidRDefault="00A3536A" w:rsidP="00641CB8">
      <w:pPr>
        <w:pStyle w:val="ListBullet"/>
        <w:rPr>
          <w:lang w:eastAsia="en-AU"/>
        </w:rPr>
      </w:pPr>
      <w:r>
        <w:t xml:space="preserve">Coordinate, supervise and lead staff and volunteers to ensure they are motivated and trained so they can effectively and efficiently fulfil the requirements of their roles. Manage rosters; prepare and </w:t>
      </w:r>
      <w:r>
        <w:lastRenderedPageBreak/>
        <w:t>communicate work plans; deliver inductions and briefings; maintain staff and visitor safety; and ensure delivery of agreed work plans.</w:t>
      </w:r>
    </w:p>
    <w:p w14:paraId="25900ADA" w14:textId="77777777" w:rsidR="00B50F90" w:rsidRDefault="00A3536A" w:rsidP="00641CB8">
      <w:pPr>
        <w:pStyle w:val="ListBullet"/>
        <w:rPr>
          <w:lang w:eastAsia="en-AU"/>
        </w:rPr>
      </w:pPr>
      <w:r>
        <w:t>Plan and lead compliance activities to monitor Beach Vehicle Permits and Commercial Tour Operator licences. Assist Rangers with prosecutions for non-compliance.</w:t>
      </w:r>
    </w:p>
    <w:p w14:paraId="21FD11FB" w14:textId="77777777" w:rsidR="00B50F90" w:rsidRDefault="00A3536A" w:rsidP="00641CB8">
      <w:pPr>
        <w:pStyle w:val="ListBullet"/>
        <w:rPr>
          <w:lang w:eastAsia="en-AU"/>
        </w:rPr>
      </w:pPr>
      <w:r>
        <w:t>Monitor and report on the condition of visitor facilities. Make recommendations for repairs, maintenance and new infrastructure to improve the visitor experience.</w:t>
      </w:r>
    </w:p>
    <w:p w14:paraId="04A79A49" w14:textId="77777777" w:rsidR="00B50F90" w:rsidRDefault="00A3536A" w:rsidP="00641CB8">
      <w:pPr>
        <w:pStyle w:val="ListBullet"/>
        <w:rPr>
          <w:lang w:eastAsia="en-AU"/>
        </w:rPr>
      </w:pPr>
      <w:r>
        <w:t>Develop, promote and coordinate educational and information programs such as Discovery activities to enhance the visitor experience.</w:t>
      </w:r>
    </w:p>
    <w:p w14:paraId="2CD69CAA" w14:textId="77777777" w:rsidR="00B50F90" w:rsidRDefault="00A3536A" w:rsidP="00641CB8">
      <w:pPr>
        <w:pStyle w:val="ListBullet"/>
        <w:rPr>
          <w:lang w:eastAsia="en-AU"/>
        </w:rPr>
      </w:pPr>
      <w:r>
        <w:t xml:space="preserve">Identify opportunities for new visitor experiences, educational or interpretive activities to improve visitors’ understanding of the cultural and natural values of the </w:t>
      </w:r>
      <w:proofErr w:type="spellStart"/>
      <w:r>
        <w:t>Worimi</w:t>
      </w:r>
      <w:proofErr w:type="spellEnd"/>
      <w:r>
        <w:t xml:space="preserve"> Conservation Lands.</w:t>
      </w:r>
    </w:p>
    <w:p w14:paraId="31C9655C" w14:textId="16DEFAD8" w:rsidR="00B50F90" w:rsidRDefault="00A3536A" w:rsidP="00881113">
      <w:pPr>
        <w:pStyle w:val="ListBullet"/>
        <w:rPr>
          <w:lang w:eastAsia="en-AU"/>
        </w:rPr>
      </w:pPr>
      <w:r>
        <w:t xml:space="preserve">Build local partnerships and coordinate volunteer activities on the </w:t>
      </w:r>
      <w:proofErr w:type="spellStart"/>
      <w:r>
        <w:t>Worimi</w:t>
      </w:r>
      <w:proofErr w:type="spellEnd"/>
      <w:r>
        <w:t xml:space="preserve"> Conservation Lands such as beach clean-ups and wildlife surveys.</w:t>
      </w:r>
      <w:r w:rsidR="00881113">
        <w:t xml:space="preserve"> </w:t>
      </w:r>
      <w:r>
        <w:t>Assist the Joint Management Coordinator with planning and delivering community events such as Back to Country Days, NAIDOC celebrations and visits from other Aboriginal community leaders.</w:t>
      </w:r>
    </w:p>
    <w:p w14:paraId="164243A1" w14:textId="77777777" w:rsidR="00B50F90" w:rsidRDefault="00A3536A" w:rsidP="00641CB8">
      <w:pPr>
        <w:pStyle w:val="ListBullet"/>
        <w:rPr>
          <w:lang w:eastAsia="en-AU"/>
        </w:rPr>
      </w:pPr>
      <w:r>
        <w:t>Administer applications for special events and filming. Make recommendations to supervisors on whether events or filming should be allowed. Assist with supervising events and filming.</w:t>
      </w:r>
    </w:p>
    <w:p w14:paraId="07293CBA" w14:textId="77777777" w:rsidR="00B50F90" w:rsidRDefault="00A3536A" w:rsidP="00641CB8">
      <w:pPr>
        <w:pStyle w:val="ListBullet"/>
        <w:rPr>
          <w:lang w:eastAsia="en-AU"/>
        </w:rPr>
      </w:pPr>
      <w:r>
        <w:t>Oversee the gathering of information, data input and preparation of financial reports for the Team Leader Rangers, including monthly and periodical reports, annual business statements, budgets and performance targets.</w:t>
      </w:r>
    </w:p>
    <w:p w14:paraId="540B58C0"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5258ABE5" w14:textId="77777777" w:rsidR="00B50F90" w:rsidRDefault="00A3536A" w:rsidP="00641CB8">
      <w:pPr>
        <w:pStyle w:val="ListBullet"/>
        <w:rPr>
          <w:lang w:eastAsia="en-AU"/>
        </w:rPr>
      </w:pPr>
      <w:r>
        <w:t>Developing and maintaining a professional and skilled Visitor Service team that meets the Board’s expectations.</w:t>
      </w:r>
    </w:p>
    <w:p w14:paraId="2EC74A7B" w14:textId="77777777" w:rsidR="00B50F90" w:rsidRDefault="00A3536A" w:rsidP="00641CB8">
      <w:pPr>
        <w:pStyle w:val="ListBullet"/>
        <w:rPr>
          <w:lang w:eastAsia="en-AU"/>
        </w:rPr>
      </w:pPr>
      <w:r>
        <w:t>Fostering successful partnerships between local Aboriginal groups, education providers, community groups, businesses, local government and tourism organisations.</w:t>
      </w:r>
    </w:p>
    <w:p w14:paraId="2E8125CE" w14:textId="77777777" w:rsidR="00057CB3" w:rsidRDefault="00043B92" w:rsidP="000C453F">
      <w:pPr>
        <w:pStyle w:val="Heading2"/>
      </w:pPr>
      <w:r>
        <w:t>Key r</w:t>
      </w:r>
      <w:r w:rsidR="00057CB3" w:rsidRPr="00C978B9">
        <w:t>elationships</w:t>
      </w:r>
    </w:p>
    <w:p w14:paraId="2B941080"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120EEFDA"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A49CEF9"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2C960372" w14:textId="77777777" w:rsidR="00057CB3" w:rsidRPr="00C978B9" w:rsidRDefault="00057CB3" w:rsidP="00803E47">
            <w:pPr>
              <w:pStyle w:val="TableTextWhite0"/>
            </w:pPr>
            <w:r w:rsidRPr="00C978B9">
              <w:t>Why</w:t>
            </w:r>
          </w:p>
        </w:tc>
      </w:tr>
      <w:tr w:rsidR="0002436B" w:rsidRPr="00C978B9" w14:paraId="46CC763E" w14:textId="77777777" w:rsidTr="00103875">
        <w:trPr>
          <w:cantSplit/>
        </w:trPr>
        <w:tc>
          <w:tcPr>
            <w:tcW w:w="3601" w:type="dxa"/>
          </w:tcPr>
          <w:p w14:paraId="621443F4" w14:textId="77777777" w:rsidR="0002436B" w:rsidRPr="00A15CDB" w:rsidRDefault="00596C1A" w:rsidP="00A15CDB">
            <w:pPr>
              <w:pStyle w:val="TableText"/>
            </w:pPr>
            <w:bookmarkStart w:id="2" w:name="InternalRelationships"/>
            <w:r>
              <w:t>Rangers, Field officers</w:t>
            </w:r>
          </w:p>
        </w:tc>
        <w:tc>
          <w:tcPr>
            <w:tcW w:w="6946" w:type="dxa"/>
          </w:tcPr>
          <w:p w14:paraId="3E7FC59A" w14:textId="77777777" w:rsidR="00B50F90" w:rsidRPr="008E7F71" w:rsidRDefault="00A3536A" w:rsidP="00641CB8">
            <w:pPr>
              <w:pStyle w:val="ListBullet"/>
              <w:rPr>
                <w:sz w:val="20"/>
                <w:lang w:eastAsia="en-AU"/>
              </w:rPr>
            </w:pPr>
            <w:r w:rsidRPr="008E7F71">
              <w:rPr>
                <w:sz w:val="20"/>
              </w:rPr>
              <w:t>Receive guidance and exchange information</w:t>
            </w:r>
          </w:p>
        </w:tc>
      </w:tr>
      <w:tr w:rsidR="0002436B" w:rsidRPr="00C978B9" w14:paraId="6EE80668" w14:textId="77777777" w:rsidTr="00103875">
        <w:trPr>
          <w:cantSplit/>
        </w:trPr>
        <w:tc>
          <w:tcPr>
            <w:tcW w:w="3601" w:type="dxa"/>
          </w:tcPr>
          <w:p w14:paraId="2CE10570" w14:textId="0349EE24" w:rsidR="0002436B" w:rsidRPr="00A15CDB" w:rsidRDefault="0068600B" w:rsidP="00A15CDB">
            <w:pPr>
              <w:pStyle w:val="TableText"/>
            </w:pPr>
            <w:r>
              <w:t>Other</w:t>
            </w:r>
            <w:r w:rsidR="00596C1A">
              <w:t xml:space="preserve"> NPWS Staff</w:t>
            </w:r>
          </w:p>
        </w:tc>
        <w:tc>
          <w:tcPr>
            <w:tcW w:w="6946" w:type="dxa"/>
          </w:tcPr>
          <w:p w14:paraId="4F9A5627" w14:textId="3A82A7C0" w:rsidR="00B50F90" w:rsidRPr="008E7F71" w:rsidRDefault="0068600B" w:rsidP="00641CB8">
            <w:pPr>
              <w:pStyle w:val="ListBullet"/>
              <w:rPr>
                <w:sz w:val="20"/>
                <w:lang w:eastAsia="en-AU"/>
              </w:rPr>
            </w:pPr>
            <w:r w:rsidRPr="008E7F71">
              <w:rPr>
                <w:sz w:val="20"/>
              </w:rPr>
              <w:t xml:space="preserve">Exchange </w:t>
            </w:r>
            <w:r w:rsidR="00A3536A" w:rsidRPr="008E7F71">
              <w:rPr>
                <w:sz w:val="20"/>
              </w:rPr>
              <w:t xml:space="preserve">advice and professional support </w:t>
            </w:r>
            <w:r w:rsidRPr="008E7F71">
              <w:rPr>
                <w:sz w:val="20"/>
              </w:rPr>
              <w:t>related</w:t>
            </w:r>
            <w:r w:rsidR="00A3536A" w:rsidRPr="008E7F71">
              <w:rPr>
                <w:sz w:val="20"/>
              </w:rPr>
              <w:t xml:space="preserve"> to visitor experiences</w:t>
            </w:r>
            <w:r w:rsidRPr="008E7F71">
              <w:rPr>
                <w:sz w:val="20"/>
              </w:rPr>
              <w:t>, cultural heritage and volunteer coordination.</w:t>
            </w:r>
            <w:r w:rsidR="00A3536A" w:rsidRPr="008E7F71">
              <w:rPr>
                <w:sz w:val="20"/>
              </w:rPr>
              <w:t xml:space="preserve"> .</w:t>
            </w:r>
          </w:p>
        </w:tc>
      </w:tr>
    </w:tbl>
    <w:bookmarkEnd w:id="2"/>
    <w:p w14:paraId="564AC7BB"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5AA2038D"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DDD25D5"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78010822" w14:textId="77777777" w:rsidR="00C34914" w:rsidRPr="00C978B9" w:rsidRDefault="00C34914" w:rsidP="003E0D69">
            <w:pPr>
              <w:pStyle w:val="TableTextWhite0"/>
            </w:pPr>
            <w:r w:rsidRPr="00C978B9">
              <w:t>Why</w:t>
            </w:r>
          </w:p>
        </w:tc>
      </w:tr>
      <w:tr w:rsidR="0068600B" w:rsidRPr="00C978B9" w14:paraId="261E94A0" w14:textId="77777777" w:rsidTr="00103875">
        <w:trPr>
          <w:cantSplit/>
        </w:trPr>
        <w:tc>
          <w:tcPr>
            <w:tcW w:w="3601" w:type="dxa"/>
          </w:tcPr>
          <w:p w14:paraId="60F7B616" w14:textId="3178EEA2" w:rsidR="0068600B" w:rsidRDefault="0068600B" w:rsidP="003E0D69">
            <w:pPr>
              <w:pStyle w:val="TableText"/>
            </w:pPr>
            <w:r>
              <w:t>Local Aboriginal community</w:t>
            </w:r>
          </w:p>
        </w:tc>
        <w:tc>
          <w:tcPr>
            <w:tcW w:w="6946" w:type="dxa"/>
          </w:tcPr>
          <w:p w14:paraId="1A11560B" w14:textId="31BFB955" w:rsidR="0068600B" w:rsidRPr="008E7F71" w:rsidRDefault="0068600B" w:rsidP="00641CB8">
            <w:pPr>
              <w:pStyle w:val="ListBullet"/>
              <w:rPr>
                <w:sz w:val="20"/>
              </w:rPr>
            </w:pPr>
            <w:r w:rsidRPr="008E7F71">
              <w:rPr>
                <w:sz w:val="20"/>
              </w:rPr>
              <w:t>Seek feedback on appropriate activities and content.</w:t>
            </w:r>
          </w:p>
        </w:tc>
      </w:tr>
      <w:tr w:rsidR="00C34914" w:rsidRPr="00C978B9" w14:paraId="3B032060" w14:textId="77777777" w:rsidTr="00103875">
        <w:trPr>
          <w:cantSplit/>
        </w:trPr>
        <w:tc>
          <w:tcPr>
            <w:tcW w:w="3601" w:type="dxa"/>
          </w:tcPr>
          <w:p w14:paraId="146F142A" w14:textId="77777777" w:rsidR="00C34914" w:rsidRPr="00DA65BD" w:rsidRDefault="00596C1A" w:rsidP="003E0D69">
            <w:pPr>
              <w:pStyle w:val="TableText"/>
            </w:pPr>
            <w:bookmarkStart w:id="3" w:name="ExternalRelationships"/>
            <w:r>
              <w:t>Stakeholders</w:t>
            </w:r>
          </w:p>
        </w:tc>
        <w:tc>
          <w:tcPr>
            <w:tcW w:w="6946" w:type="dxa"/>
          </w:tcPr>
          <w:p w14:paraId="04653DDE" w14:textId="72176210" w:rsidR="00B50F90" w:rsidRPr="008E7F71" w:rsidRDefault="00A3536A" w:rsidP="00641CB8">
            <w:pPr>
              <w:pStyle w:val="ListBullet"/>
              <w:rPr>
                <w:sz w:val="20"/>
                <w:lang w:eastAsia="en-AU"/>
              </w:rPr>
            </w:pPr>
            <w:r w:rsidRPr="008E7F71">
              <w:rPr>
                <w:sz w:val="20"/>
              </w:rPr>
              <w:t>Collaborate with the local community, commercial tour operators and the regional tourism industry.</w:t>
            </w:r>
          </w:p>
        </w:tc>
      </w:tr>
    </w:tbl>
    <w:bookmarkEnd w:id="3"/>
    <w:p w14:paraId="01EDE723" w14:textId="77777777" w:rsidR="00057CB3" w:rsidRPr="00C978B9" w:rsidRDefault="0002436B" w:rsidP="000C453F">
      <w:pPr>
        <w:pStyle w:val="Heading2"/>
      </w:pPr>
      <w:r w:rsidRPr="00C978B9">
        <w:t xml:space="preserve">Role </w:t>
      </w:r>
      <w:r w:rsidR="00043B92">
        <w:t>d</w:t>
      </w:r>
      <w:r w:rsidRPr="00C978B9">
        <w:t>imensions</w:t>
      </w:r>
    </w:p>
    <w:p w14:paraId="1EC8CCDC" w14:textId="77777777" w:rsidR="0002436B" w:rsidRDefault="001D133A" w:rsidP="000C453F">
      <w:pPr>
        <w:pStyle w:val="Heading3"/>
      </w:pPr>
      <w:r w:rsidRPr="00C978B9">
        <w:t>Decision making</w:t>
      </w:r>
    </w:p>
    <w:p w14:paraId="1867CEAC" w14:textId="57AB22FC" w:rsidR="00BD7587" w:rsidRPr="007523A5" w:rsidRDefault="00A55204" w:rsidP="00BD7587">
      <w:pPr>
        <w:rPr>
          <w:rFonts w:cs="Arial"/>
          <w:szCs w:val="22"/>
        </w:rPr>
      </w:pPr>
      <w:bookmarkStart w:id="4" w:name="_Hlk17372642"/>
      <w:r>
        <w:t xml:space="preserve">The Visitor Services Coordinator operates with day to day independence within established policies and guidelines which relate to the operation of the </w:t>
      </w:r>
      <w:proofErr w:type="spellStart"/>
      <w:r>
        <w:t>Worimi</w:t>
      </w:r>
      <w:proofErr w:type="spellEnd"/>
      <w:r>
        <w:t xml:space="preserve"> Conservation Lands. The role is guided by </w:t>
      </w:r>
      <w:r w:rsidR="00846BD0">
        <w:t xml:space="preserve">the </w:t>
      </w:r>
      <w:r>
        <w:t xml:space="preserve">Plan of Management and operational plans prepared by the </w:t>
      </w:r>
      <w:r w:rsidR="00846BD0">
        <w:t xml:space="preserve">Board of Management, </w:t>
      </w:r>
      <w:r>
        <w:t>Area, Branch, and other NPWS teams such as Visitor Experience Branch. The role recommends initiatives to the Team Leader Rangers that relate to promot</w:t>
      </w:r>
      <w:r w:rsidR="00846BD0">
        <w:t>ing</w:t>
      </w:r>
      <w:r>
        <w:t xml:space="preserve"> visitor experiences, develop</w:t>
      </w:r>
      <w:r w:rsidR="00846BD0">
        <w:t>ing</w:t>
      </w:r>
      <w:r>
        <w:t xml:space="preserve"> new activities, and improv</w:t>
      </w:r>
      <w:r w:rsidR="00846BD0">
        <w:t>ing</w:t>
      </w:r>
      <w:r>
        <w:t xml:space="preserve"> visitor compliance. The role holder will make decisions on a day to day basis on staff, volunteer or contractor matters and manage day to day budgets with control and purchase of stock and equipment and has authority to expend funds within approved delegations.</w:t>
      </w:r>
    </w:p>
    <w:bookmarkEnd w:id="4"/>
    <w:p w14:paraId="6170502F" w14:textId="77777777" w:rsidR="001D133A" w:rsidRDefault="001D133A" w:rsidP="000C453F">
      <w:pPr>
        <w:pStyle w:val="Heading3"/>
      </w:pPr>
      <w:r w:rsidRPr="00C978B9">
        <w:t>Reporting line</w:t>
      </w:r>
    </w:p>
    <w:p w14:paraId="2CC101A7" w14:textId="77777777" w:rsidR="00E91D2A" w:rsidRDefault="00A55204" w:rsidP="001D133A">
      <w:r>
        <w:t>The role reports to the Team Leader Rangers.</w:t>
      </w:r>
    </w:p>
    <w:p w14:paraId="036930B3" w14:textId="77777777" w:rsidR="001D133A" w:rsidRDefault="001D133A" w:rsidP="000C453F">
      <w:pPr>
        <w:pStyle w:val="Heading3"/>
      </w:pPr>
      <w:r w:rsidRPr="00C978B9">
        <w:t>Direct reports</w:t>
      </w:r>
    </w:p>
    <w:p w14:paraId="757DEC03" w14:textId="77777777" w:rsidR="001D133A" w:rsidRPr="00C978B9" w:rsidRDefault="00A55204" w:rsidP="001D133A">
      <w:r>
        <w:t>Aboriginal Visitor Service Assistants (two ongoing, multiple casual). NPWS volunteers.</w:t>
      </w:r>
    </w:p>
    <w:p w14:paraId="7AD416A3" w14:textId="77777777" w:rsidR="001D133A" w:rsidRDefault="001D133A" w:rsidP="000C453F">
      <w:pPr>
        <w:pStyle w:val="Heading3"/>
      </w:pPr>
      <w:r w:rsidRPr="00C978B9">
        <w:t>Budget/Expenditure</w:t>
      </w:r>
    </w:p>
    <w:p w14:paraId="35756C9E" w14:textId="77777777" w:rsidR="005505E4" w:rsidRDefault="00A55204" w:rsidP="005505E4">
      <w:r>
        <w:t>As per current delegations and in accordance with approved budget.</w:t>
      </w:r>
    </w:p>
    <w:p w14:paraId="2CA97050" w14:textId="55BD1EFC" w:rsidR="0033077C" w:rsidRDefault="0033077C" w:rsidP="0033077C">
      <w:pPr>
        <w:pStyle w:val="Heading2"/>
      </w:pPr>
      <w:r>
        <w:t>Key knowledge and experience</w:t>
      </w:r>
    </w:p>
    <w:p w14:paraId="7B467391" w14:textId="77777777" w:rsidR="0033077C" w:rsidRDefault="0033077C" w:rsidP="0033077C">
      <w:pPr>
        <w:pStyle w:val="ListBullet"/>
        <w:rPr>
          <w:lang w:eastAsia="en-AU"/>
        </w:rPr>
      </w:pPr>
      <w:r>
        <w:t>Demonstrated skills and experience communicating in an outdoor setting with a wide range of people.</w:t>
      </w:r>
    </w:p>
    <w:p w14:paraId="58CC7EF4" w14:textId="77777777" w:rsidR="0033077C" w:rsidRDefault="0033077C" w:rsidP="0033077C">
      <w:pPr>
        <w:pStyle w:val="ListBullet"/>
        <w:rPr>
          <w:lang w:eastAsia="en-AU"/>
        </w:rPr>
      </w:pPr>
      <w:r>
        <w:t>Demonstrated understanding of the role of cultural interpretation, and experience in developing and including interpretive techniques during a guided tour or activity.</w:t>
      </w:r>
    </w:p>
    <w:p w14:paraId="382F4B74" w14:textId="77777777" w:rsidR="0033077C" w:rsidRDefault="0033077C" w:rsidP="0033077C">
      <w:pPr>
        <w:pStyle w:val="ListBullet"/>
        <w:rPr>
          <w:lang w:eastAsia="en-AU"/>
        </w:rPr>
      </w:pPr>
      <w:r>
        <w:t>Sound understanding of work health and safety, risk management and environmentally and culturally sustainable outdoor activities.</w:t>
      </w:r>
    </w:p>
    <w:p w14:paraId="096E81CD" w14:textId="77777777" w:rsidR="0033077C" w:rsidRDefault="0033077C" w:rsidP="0033077C">
      <w:pPr>
        <w:pStyle w:val="ListBullet"/>
        <w:rPr>
          <w:lang w:eastAsia="en-AU"/>
        </w:rPr>
      </w:pPr>
      <w:r>
        <w:t>Demonstrated written communication skills with experience in office administration, roster management and ability to formulate and manage a budget.</w:t>
      </w:r>
    </w:p>
    <w:p w14:paraId="6F765516" w14:textId="77777777" w:rsidR="0033077C" w:rsidRDefault="0033077C" w:rsidP="0033077C">
      <w:pPr>
        <w:pStyle w:val="ListBullet"/>
        <w:rPr>
          <w:lang w:eastAsia="en-AU"/>
        </w:rPr>
      </w:pPr>
      <w:r>
        <w:t xml:space="preserve">A broad knowledge and appreciation of natural and cultural values of the </w:t>
      </w:r>
      <w:proofErr w:type="spellStart"/>
      <w:r>
        <w:t>Worimi</w:t>
      </w:r>
      <w:proofErr w:type="spellEnd"/>
      <w:r>
        <w:t xml:space="preserve"> Conservation Lands, with the ability to apply appropriate emphasis and sensitivity to Aboriginal cultural heritage aspects.</w:t>
      </w:r>
    </w:p>
    <w:p w14:paraId="29AB0F00" w14:textId="77777777" w:rsidR="0033077C" w:rsidRDefault="0033077C" w:rsidP="0033077C">
      <w:pPr>
        <w:pStyle w:val="ListBullet"/>
        <w:rPr>
          <w:lang w:eastAsia="en-AU"/>
        </w:rPr>
      </w:pPr>
      <w:r>
        <w:t>Demonstrated team management skills including recruitment, supervision and training of staff and volunteers.</w:t>
      </w:r>
    </w:p>
    <w:p w14:paraId="74D4B78C" w14:textId="77777777" w:rsidR="001D133A" w:rsidRDefault="001D133A" w:rsidP="000C453F">
      <w:pPr>
        <w:pStyle w:val="Heading2"/>
      </w:pPr>
      <w:r w:rsidRPr="00C978B9">
        <w:t>Essential requir</w:t>
      </w:r>
      <w:r w:rsidR="00E31CD3" w:rsidRPr="00C978B9">
        <w:t>e</w:t>
      </w:r>
      <w:r w:rsidRPr="00C978B9">
        <w:t>ments</w:t>
      </w:r>
    </w:p>
    <w:p w14:paraId="29F9E80F" w14:textId="25C84B0A" w:rsidR="0033077C" w:rsidRDefault="0033077C" w:rsidP="0033077C">
      <w:r>
        <w:t>This is an Identified role under Section 14d of the Anti-Discrimination Act 1977 and as such Aboriginality is an essential requirement of the role.  Aboriginal identified positions are developed where Aboriginal identity, cultural knowledge or connections are a genuine aspect of the role. Positions are specifically noted under the provisions of the NSW Anti-discrimination Act (1977) for Aboriginal people who meet the following criteria:</w:t>
      </w:r>
    </w:p>
    <w:p w14:paraId="734841D1" w14:textId="77777777" w:rsidR="0033077C" w:rsidRDefault="0033077C" w:rsidP="0033077C">
      <w:pPr>
        <w:pStyle w:val="ListBullet"/>
      </w:pPr>
      <w:r>
        <w:t>is of Aboriginal and/or Torres Strait Islander descent, and</w:t>
      </w:r>
    </w:p>
    <w:p w14:paraId="3611DBDF" w14:textId="77777777" w:rsidR="0033077C" w:rsidRDefault="0033077C" w:rsidP="0033077C">
      <w:pPr>
        <w:pStyle w:val="ListBullet"/>
      </w:pPr>
      <w:r>
        <w:t>identifies as an Aboriginal and/or Torres Strait Islander person, and</w:t>
      </w:r>
    </w:p>
    <w:p w14:paraId="662CD80B" w14:textId="380F1BD6" w:rsidR="0033077C" w:rsidRDefault="0033077C" w:rsidP="0033077C">
      <w:pPr>
        <w:pStyle w:val="ListBullet"/>
      </w:pPr>
      <w:r>
        <w:t>is accepted as such by the Aboriginal and/or Torres Strait Islander community.</w:t>
      </w:r>
    </w:p>
    <w:p w14:paraId="36ABBB42" w14:textId="77777777" w:rsidR="0033077C" w:rsidRDefault="0033077C" w:rsidP="0033077C">
      <w:pPr>
        <w:pStyle w:val="ListBullet"/>
        <w:numPr>
          <w:ilvl w:val="0"/>
          <w:numId w:val="0"/>
        </w:numPr>
        <w:ind w:left="360"/>
      </w:pPr>
    </w:p>
    <w:p w14:paraId="19965A33" w14:textId="77777777" w:rsidR="0033077C" w:rsidRDefault="0033077C" w:rsidP="00641CB8">
      <w:pPr>
        <w:pStyle w:val="ListBullet"/>
        <w:rPr>
          <w:lang w:eastAsia="en-AU"/>
        </w:rPr>
      </w:pPr>
      <w:r>
        <w:t xml:space="preserve">A cultural association with the local </w:t>
      </w:r>
      <w:proofErr w:type="spellStart"/>
      <w:r>
        <w:t>Worimi</w:t>
      </w:r>
      <w:proofErr w:type="spellEnd"/>
      <w:r>
        <w:t xml:space="preserve"> community (as defined by the </w:t>
      </w:r>
      <w:proofErr w:type="spellStart"/>
      <w:r>
        <w:t>Worimi</w:t>
      </w:r>
      <w:proofErr w:type="spellEnd"/>
      <w:r>
        <w:t xml:space="preserve"> LALC boundaries)</w:t>
      </w:r>
    </w:p>
    <w:p w14:paraId="4E632A38" w14:textId="753B96A2" w:rsidR="00B50F90" w:rsidRDefault="00A3536A" w:rsidP="00641CB8">
      <w:pPr>
        <w:pStyle w:val="ListBullet"/>
        <w:rPr>
          <w:lang w:eastAsia="en-AU"/>
        </w:rPr>
      </w:pPr>
      <w:r>
        <w:t>Current certifications or the ability to obtain within 3 months:</w:t>
      </w:r>
    </w:p>
    <w:p w14:paraId="4D577DA2" w14:textId="79364B33" w:rsidR="00B50F90" w:rsidRDefault="00A3536A" w:rsidP="00CB1DBE">
      <w:pPr>
        <w:pStyle w:val="ListBullet"/>
        <w:tabs>
          <w:tab w:val="clear" w:pos="360"/>
          <w:tab w:val="num" w:pos="720"/>
        </w:tabs>
        <w:ind w:left="720"/>
        <w:rPr>
          <w:lang w:eastAsia="en-AU"/>
        </w:rPr>
      </w:pPr>
      <w:r>
        <w:t>Australian driver licence</w:t>
      </w:r>
    </w:p>
    <w:p w14:paraId="307BA125" w14:textId="373717BC" w:rsidR="00B50F90" w:rsidRDefault="00A3536A" w:rsidP="00CB1DBE">
      <w:pPr>
        <w:pStyle w:val="ListBullet"/>
        <w:tabs>
          <w:tab w:val="clear" w:pos="360"/>
          <w:tab w:val="num" w:pos="720"/>
        </w:tabs>
        <w:ind w:left="720"/>
        <w:rPr>
          <w:lang w:eastAsia="en-AU"/>
        </w:rPr>
      </w:pPr>
      <w:r>
        <w:t>Working with Children Check</w:t>
      </w:r>
    </w:p>
    <w:p w14:paraId="11E1D47F" w14:textId="3D5041F3" w:rsidR="00B50F90" w:rsidRDefault="00A3536A" w:rsidP="00CB1DBE">
      <w:pPr>
        <w:pStyle w:val="ListBullet"/>
        <w:tabs>
          <w:tab w:val="clear" w:pos="360"/>
          <w:tab w:val="num" w:pos="720"/>
        </w:tabs>
        <w:ind w:left="720"/>
        <w:rPr>
          <w:lang w:eastAsia="en-AU"/>
        </w:rPr>
      </w:pPr>
      <w:r>
        <w:t>First Aid Certificate</w:t>
      </w:r>
    </w:p>
    <w:p w14:paraId="1FA1CDA0" w14:textId="2F73A90C" w:rsidR="00B50F90" w:rsidRDefault="00A3536A" w:rsidP="00CB1DBE">
      <w:pPr>
        <w:pStyle w:val="ListBullet"/>
        <w:tabs>
          <w:tab w:val="clear" w:pos="360"/>
          <w:tab w:val="num" w:pos="720"/>
        </w:tabs>
        <w:ind w:left="720"/>
        <w:rPr>
          <w:lang w:eastAsia="en-AU"/>
        </w:rPr>
      </w:pPr>
      <w:r>
        <w:t>4 wheel drive operation and recovery.</w:t>
      </w:r>
    </w:p>
    <w:p w14:paraId="7CCFA87B" w14:textId="457F6C8C" w:rsidR="00CB1DBE" w:rsidRDefault="00CB1DBE" w:rsidP="00CB1DBE">
      <w:pPr>
        <w:pStyle w:val="ListBullet"/>
        <w:numPr>
          <w:ilvl w:val="0"/>
          <w:numId w:val="0"/>
        </w:numPr>
        <w:ind w:left="360" w:hanging="360"/>
      </w:pPr>
    </w:p>
    <w:p w14:paraId="1D5A4387" w14:textId="77777777" w:rsidR="009E0B71" w:rsidRPr="00C978B9" w:rsidRDefault="009E0B71" w:rsidP="000C453F">
      <w:pPr>
        <w:pStyle w:val="Heading2"/>
      </w:pPr>
      <w:bookmarkStart w:id="5" w:name="_Hlk36203683"/>
      <w:bookmarkStart w:id="6" w:name="_Hlk36565316"/>
      <w:bookmarkStart w:id="7" w:name="_Hlk36209343"/>
      <w:bookmarkStart w:id="8" w:name="_Hlk36710441"/>
      <w:r w:rsidRPr="00C978B9">
        <w:t>Capabilities for the role</w:t>
      </w:r>
    </w:p>
    <w:p w14:paraId="2ADD41B3" w14:textId="77777777" w:rsidR="009E0B71" w:rsidRPr="00175AAF" w:rsidRDefault="009E0B71" w:rsidP="009E0B71">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52E3796" w14:textId="77777777" w:rsidR="003E0111" w:rsidRPr="003C7A36" w:rsidRDefault="009E0B71" w:rsidP="00E97E4E">
      <w:r w:rsidRPr="003E0111">
        <w:t>The capabilities are separated into focus capabilities and complementary capabilities</w:t>
      </w:r>
    </w:p>
    <w:p w14:paraId="59173AE0" w14:textId="77777777" w:rsidR="009E0B71" w:rsidRPr="00C978B9" w:rsidRDefault="009E0B71" w:rsidP="000C453F">
      <w:pPr>
        <w:pStyle w:val="Heading2"/>
      </w:pPr>
      <w:r w:rsidRPr="00C978B9">
        <w:t xml:space="preserve">Focus </w:t>
      </w:r>
      <w:r>
        <w:t>c</w:t>
      </w:r>
      <w:r w:rsidRPr="00C978B9">
        <w:t>apabilities</w:t>
      </w:r>
      <w:r w:rsidR="00AC56D6">
        <w:tab/>
      </w:r>
    </w:p>
    <w:p w14:paraId="6B3A84DB"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3F07AB76"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2449A8E8"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051F5214" w14:textId="77777777" w:rsidTr="00CB1DBE">
        <w:trPr>
          <w:cnfStyle w:val="100000000000" w:firstRow="1" w:lastRow="0" w:firstColumn="0" w:lastColumn="0" w:oddVBand="0" w:evenVBand="0" w:oddHBand="0" w:evenHBand="0" w:firstRowFirstColumn="0" w:firstRowLastColumn="0" w:lastRowFirstColumn="0" w:lastRowLastColumn="0"/>
          <w:cantSplit/>
          <w:tblHeader/>
        </w:trPr>
        <w:tc>
          <w:tcPr>
            <w:tcW w:w="1385" w:type="dxa"/>
            <w:shd w:val="clear" w:color="auto" w:fill="BFBFBF" w:themeFill="background1" w:themeFillShade="BF"/>
            <w:vAlign w:val="center"/>
          </w:tcPr>
          <w:p w14:paraId="38E19A5B"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41EB793D"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0196ED62"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161D8260" w14:textId="77777777" w:rsidR="00372FE9" w:rsidRPr="00372FE9" w:rsidRDefault="00372FE9" w:rsidP="00372FE9">
            <w:pPr>
              <w:rPr>
                <w:b/>
                <w:bCs/>
                <w:sz w:val="20"/>
              </w:rPr>
            </w:pPr>
            <w:r w:rsidRPr="00372FE9">
              <w:rPr>
                <w:b/>
                <w:bCs/>
                <w:sz w:val="20"/>
              </w:rPr>
              <w:t>Level</w:t>
            </w:r>
          </w:p>
        </w:tc>
      </w:tr>
      <w:tr w:rsidR="006F0836" w:rsidRPr="003C7A36" w14:paraId="5CE5A66A" w14:textId="77777777" w:rsidTr="004C659E">
        <w:trPr>
          <w:cantSplit/>
        </w:trPr>
        <w:tc>
          <w:tcPr>
            <w:tcW w:w="1385" w:type="dxa"/>
          </w:tcPr>
          <w:p w14:paraId="1D9C86E6"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0AE87B7C" wp14:editId="13D5FA5F">
                  <wp:extent cx="749300" cy="749300"/>
                  <wp:effectExtent l="0" t="0" r="0" b="0"/>
                  <wp:docPr id="4680"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8EFD52D" w14:textId="77777777" w:rsidR="00667FCB" w:rsidRDefault="006F0836" w:rsidP="004A1A64">
            <w:pPr>
              <w:rPr>
                <w:rFonts w:cs="Arial"/>
                <w:color w:val="000000"/>
                <w:sz w:val="20"/>
              </w:rPr>
            </w:pPr>
            <w:r w:rsidRPr="003C7A36">
              <w:rPr>
                <w:rFonts w:cs="Arial"/>
                <w:b/>
                <w:bCs/>
                <w:color w:val="000000"/>
                <w:sz w:val="20"/>
              </w:rPr>
              <w:t>Manage Self</w:t>
            </w:r>
          </w:p>
          <w:p w14:paraId="43D1D03D"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632E8EC9" w14:textId="77777777" w:rsidR="006F0836" w:rsidRPr="003C7A36" w:rsidRDefault="006F0836" w:rsidP="00A55204">
            <w:pPr>
              <w:pStyle w:val="TableBullet"/>
            </w:pPr>
            <w:r w:rsidRPr="003C7A36">
              <w:t>Adapt existing skills to new situations</w:t>
            </w:r>
          </w:p>
          <w:p w14:paraId="0C289648" w14:textId="77777777" w:rsidR="006F0836" w:rsidRPr="003C7A36" w:rsidRDefault="006F0836" w:rsidP="00A55204">
            <w:pPr>
              <w:pStyle w:val="TableBullet"/>
            </w:pPr>
            <w:r w:rsidRPr="003C7A36">
              <w:t>Show commitment to achieving work goals</w:t>
            </w:r>
          </w:p>
          <w:p w14:paraId="0C19F2CB" w14:textId="77777777" w:rsidR="006F0836" w:rsidRPr="003C7A36" w:rsidRDefault="006F0836" w:rsidP="00A55204">
            <w:pPr>
              <w:pStyle w:val="TableBullet"/>
            </w:pPr>
            <w:r w:rsidRPr="003C7A36">
              <w:t>Show awareness of own strengths and areas for growth, and develop and apply new skills</w:t>
            </w:r>
          </w:p>
          <w:p w14:paraId="5A8416C8" w14:textId="77777777" w:rsidR="006F0836" w:rsidRPr="003C7A36" w:rsidRDefault="006F0836" w:rsidP="00A55204">
            <w:pPr>
              <w:pStyle w:val="TableBullet"/>
            </w:pPr>
            <w:r w:rsidRPr="003C7A36">
              <w:t>Seek feedback from colleagues and stakeholders</w:t>
            </w:r>
          </w:p>
          <w:p w14:paraId="186AE9F9" w14:textId="77777777" w:rsidR="006F0836" w:rsidRPr="003C7A36" w:rsidRDefault="006F0836" w:rsidP="00A55204">
            <w:pPr>
              <w:pStyle w:val="TableBullet"/>
            </w:pPr>
            <w:r w:rsidRPr="003C7A36">
              <w:t>Stay motivated when tasks become difficult</w:t>
            </w:r>
          </w:p>
        </w:tc>
        <w:tc>
          <w:tcPr>
            <w:tcW w:w="1668" w:type="dxa"/>
          </w:tcPr>
          <w:p w14:paraId="589EBDD6" w14:textId="77777777" w:rsidR="006F0836" w:rsidRPr="006F0836" w:rsidRDefault="004C659E" w:rsidP="00544127">
            <w:pPr>
              <w:pStyle w:val="TableText"/>
            </w:pPr>
            <w:r w:rsidRPr="004C659E">
              <w:t>Intermediate</w:t>
            </w:r>
          </w:p>
        </w:tc>
      </w:tr>
      <w:tr w:rsidR="006F0836" w:rsidRPr="003C7A36" w14:paraId="74C9458B" w14:textId="77777777" w:rsidTr="004C659E">
        <w:trPr>
          <w:cantSplit/>
        </w:trPr>
        <w:tc>
          <w:tcPr>
            <w:tcW w:w="1385" w:type="dxa"/>
          </w:tcPr>
          <w:p w14:paraId="712E0B0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2F2DC71" wp14:editId="09FF8AEF">
                  <wp:extent cx="749300" cy="749300"/>
                  <wp:effectExtent l="0" t="0" r="0" b="0"/>
                  <wp:docPr id="3046"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E69A8D8" w14:textId="77777777" w:rsidR="00667FCB" w:rsidRDefault="006F0836" w:rsidP="004A1A64">
            <w:pPr>
              <w:rPr>
                <w:rFonts w:cs="Arial"/>
                <w:color w:val="000000"/>
                <w:sz w:val="20"/>
              </w:rPr>
            </w:pPr>
            <w:r w:rsidRPr="003C7A36">
              <w:rPr>
                <w:rFonts w:cs="Arial"/>
                <w:b/>
                <w:bCs/>
                <w:color w:val="000000"/>
                <w:sz w:val="20"/>
              </w:rPr>
              <w:t>Communicate Effectively</w:t>
            </w:r>
          </w:p>
          <w:p w14:paraId="067F1AD9"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5535A908" w14:textId="77777777" w:rsidR="006F0836" w:rsidRPr="003C7A36" w:rsidRDefault="006F0836" w:rsidP="00A55204">
            <w:pPr>
              <w:pStyle w:val="TableBullet"/>
            </w:pPr>
            <w:r w:rsidRPr="003C7A36">
              <w:t>Focus on key points and speak in plain English</w:t>
            </w:r>
          </w:p>
          <w:p w14:paraId="06A28C93" w14:textId="77777777" w:rsidR="006F0836" w:rsidRPr="003C7A36" w:rsidRDefault="006F0836" w:rsidP="00A55204">
            <w:pPr>
              <w:pStyle w:val="TableBullet"/>
            </w:pPr>
            <w:r w:rsidRPr="003C7A36">
              <w:t>Clearly explain and present ideas and arguments</w:t>
            </w:r>
          </w:p>
          <w:p w14:paraId="24F78FC3" w14:textId="77777777" w:rsidR="006F0836" w:rsidRPr="003C7A36" w:rsidRDefault="006F0836" w:rsidP="00A55204">
            <w:pPr>
              <w:pStyle w:val="TableBullet"/>
            </w:pPr>
            <w:r w:rsidRPr="003C7A36">
              <w:t>Listen to others to gain an understanding and ask appropriate, respectful questions</w:t>
            </w:r>
          </w:p>
          <w:p w14:paraId="4852F3B2" w14:textId="77777777" w:rsidR="006F0836" w:rsidRPr="003C7A36" w:rsidRDefault="006F0836" w:rsidP="00A55204">
            <w:pPr>
              <w:pStyle w:val="TableBullet"/>
            </w:pPr>
            <w:r w:rsidRPr="003C7A36">
              <w:t>Promote the use of inclusive language and assist others to adjust where necessary</w:t>
            </w:r>
          </w:p>
          <w:p w14:paraId="315BD4EC" w14:textId="77777777" w:rsidR="006F0836" w:rsidRPr="003C7A36" w:rsidRDefault="006F0836" w:rsidP="00A55204">
            <w:pPr>
              <w:pStyle w:val="TableBullet"/>
            </w:pPr>
            <w:r w:rsidRPr="003C7A36">
              <w:t>Monitor own and others’ non-verbal cues and adapt where necessary</w:t>
            </w:r>
          </w:p>
          <w:p w14:paraId="2B0432BC" w14:textId="77777777" w:rsidR="006F0836" w:rsidRPr="003C7A36" w:rsidRDefault="006F0836" w:rsidP="00A55204">
            <w:pPr>
              <w:pStyle w:val="TableBullet"/>
            </w:pPr>
            <w:r w:rsidRPr="003C7A36">
              <w:t>Write and prepare material that is well structured and easy to follow</w:t>
            </w:r>
          </w:p>
          <w:p w14:paraId="5B1B1755" w14:textId="77777777" w:rsidR="006F0836" w:rsidRPr="003C7A36" w:rsidRDefault="006F0836" w:rsidP="00A55204">
            <w:pPr>
              <w:pStyle w:val="TableBullet"/>
            </w:pPr>
            <w:r w:rsidRPr="003C7A36">
              <w:t>Communicate routine technical information clearly</w:t>
            </w:r>
          </w:p>
        </w:tc>
        <w:tc>
          <w:tcPr>
            <w:tcW w:w="1668" w:type="dxa"/>
          </w:tcPr>
          <w:p w14:paraId="395B0B32" w14:textId="77777777" w:rsidR="006F0836" w:rsidRPr="006F0836" w:rsidRDefault="004C659E" w:rsidP="00544127">
            <w:pPr>
              <w:pStyle w:val="TableText"/>
            </w:pPr>
            <w:r w:rsidRPr="004C659E">
              <w:t>Intermediate</w:t>
            </w:r>
          </w:p>
        </w:tc>
      </w:tr>
      <w:tr w:rsidR="006F0836" w:rsidRPr="003C7A36" w14:paraId="3A6EC314" w14:textId="77777777" w:rsidTr="004C659E">
        <w:trPr>
          <w:cantSplit/>
        </w:trPr>
        <w:tc>
          <w:tcPr>
            <w:tcW w:w="1385" w:type="dxa"/>
          </w:tcPr>
          <w:p w14:paraId="687DD12A"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B81A8ED" wp14:editId="283A451F">
                  <wp:extent cx="749300" cy="749300"/>
                  <wp:effectExtent l="0" t="0" r="0" b="0"/>
                  <wp:docPr id="6630"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DCE3936" w14:textId="77777777" w:rsidR="00667FCB" w:rsidRDefault="006F0836" w:rsidP="004A1A64">
            <w:pPr>
              <w:rPr>
                <w:rFonts w:cs="Arial"/>
                <w:color w:val="000000"/>
                <w:sz w:val="20"/>
              </w:rPr>
            </w:pPr>
            <w:r w:rsidRPr="003C7A36">
              <w:rPr>
                <w:rFonts w:cs="Arial"/>
                <w:b/>
                <w:bCs/>
                <w:color w:val="000000"/>
                <w:sz w:val="20"/>
              </w:rPr>
              <w:t>Commit to Customer Service</w:t>
            </w:r>
          </w:p>
          <w:p w14:paraId="2B75973F" w14:textId="77777777" w:rsidR="006F0836" w:rsidRPr="00667FCB" w:rsidRDefault="006F0836" w:rsidP="004A1A64">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5938226D" w14:textId="77777777" w:rsidR="006F0836" w:rsidRPr="003C7A36" w:rsidRDefault="006F0836" w:rsidP="00A55204">
            <w:pPr>
              <w:pStyle w:val="TableBullet"/>
            </w:pPr>
            <w:r w:rsidRPr="003C7A36">
              <w:t>Focus on providing a positive customer experience</w:t>
            </w:r>
          </w:p>
          <w:p w14:paraId="598DA7EE" w14:textId="77777777" w:rsidR="006F0836" w:rsidRPr="003C7A36" w:rsidRDefault="006F0836" w:rsidP="00A55204">
            <w:pPr>
              <w:pStyle w:val="TableBullet"/>
            </w:pPr>
            <w:r w:rsidRPr="003C7A36">
              <w:t>Support a customer-focused culture in the organisation</w:t>
            </w:r>
          </w:p>
          <w:p w14:paraId="2A704ABA" w14:textId="77777777" w:rsidR="006F0836" w:rsidRPr="003C7A36" w:rsidRDefault="006F0836" w:rsidP="00A55204">
            <w:pPr>
              <w:pStyle w:val="TableBullet"/>
            </w:pPr>
            <w:r w:rsidRPr="003C7A36">
              <w:t>Demonstrate a thorough knowledge of the services provided and relay this knowledge to customers</w:t>
            </w:r>
          </w:p>
          <w:p w14:paraId="30EF7F50" w14:textId="77777777" w:rsidR="006F0836" w:rsidRPr="003C7A36" w:rsidRDefault="006F0836" w:rsidP="00A55204">
            <w:pPr>
              <w:pStyle w:val="TableBullet"/>
            </w:pPr>
            <w:r w:rsidRPr="003C7A36">
              <w:t>Identify and respond quickly to customer needs</w:t>
            </w:r>
          </w:p>
          <w:p w14:paraId="6EF3ED50" w14:textId="77777777" w:rsidR="006F0836" w:rsidRPr="003C7A36" w:rsidRDefault="006F0836" w:rsidP="00A55204">
            <w:pPr>
              <w:pStyle w:val="TableBullet"/>
            </w:pPr>
            <w:r w:rsidRPr="003C7A36">
              <w:t>Consider customer service requirements and develop solutions to meet needs</w:t>
            </w:r>
          </w:p>
          <w:p w14:paraId="1EE3FA52" w14:textId="77777777" w:rsidR="006F0836" w:rsidRPr="003C7A36" w:rsidRDefault="006F0836" w:rsidP="00A55204">
            <w:pPr>
              <w:pStyle w:val="TableBullet"/>
            </w:pPr>
            <w:r w:rsidRPr="003C7A36">
              <w:t>Resolve complex customer issues and needs</w:t>
            </w:r>
          </w:p>
          <w:p w14:paraId="2B06D0C4" w14:textId="77777777" w:rsidR="006F0836" w:rsidRPr="003C7A36" w:rsidRDefault="006F0836" w:rsidP="00A55204">
            <w:pPr>
              <w:pStyle w:val="TableBullet"/>
            </w:pPr>
            <w:r w:rsidRPr="003C7A36">
              <w:t>Cooperate across work areas to improve outcomes for customers</w:t>
            </w:r>
          </w:p>
        </w:tc>
        <w:tc>
          <w:tcPr>
            <w:tcW w:w="1668" w:type="dxa"/>
          </w:tcPr>
          <w:p w14:paraId="3F83B2CA" w14:textId="77777777" w:rsidR="006F0836" w:rsidRPr="006F0836" w:rsidRDefault="004C659E" w:rsidP="00544127">
            <w:pPr>
              <w:pStyle w:val="TableText"/>
            </w:pPr>
            <w:r w:rsidRPr="004C659E">
              <w:t>Intermediate</w:t>
            </w:r>
          </w:p>
        </w:tc>
      </w:tr>
      <w:tr w:rsidR="006F0836" w:rsidRPr="003C7A36" w14:paraId="660A2EED" w14:textId="77777777" w:rsidTr="004C659E">
        <w:trPr>
          <w:cantSplit/>
        </w:trPr>
        <w:tc>
          <w:tcPr>
            <w:tcW w:w="1385" w:type="dxa"/>
          </w:tcPr>
          <w:p w14:paraId="463EABFC"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E7A7281" wp14:editId="1A879A34">
                  <wp:extent cx="749300" cy="749300"/>
                  <wp:effectExtent l="0" t="0" r="0" b="0"/>
                  <wp:docPr id="4996"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D58B497" w14:textId="77777777" w:rsidR="00667FCB" w:rsidRDefault="006F0836" w:rsidP="004A1A64">
            <w:pPr>
              <w:rPr>
                <w:rFonts w:cs="Arial"/>
                <w:color w:val="000000"/>
                <w:sz w:val="20"/>
              </w:rPr>
            </w:pPr>
            <w:r w:rsidRPr="003C7A36">
              <w:rPr>
                <w:rFonts w:cs="Arial"/>
                <w:b/>
                <w:bCs/>
                <w:color w:val="000000"/>
                <w:sz w:val="20"/>
              </w:rPr>
              <w:t>Plan and Prioritise</w:t>
            </w:r>
          </w:p>
          <w:p w14:paraId="7F150115" w14:textId="77777777" w:rsidR="006F0836" w:rsidRPr="00667FCB" w:rsidRDefault="006F0836" w:rsidP="004A1A64">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63D78920" w14:textId="77777777" w:rsidR="006F0836" w:rsidRPr="003C7A36" w:rsidRDefault="006F0836" w:rsidP="00A55204">
            <w:pPr>
              <w:pStyle w:val="TableBullet"/>
            </w:pPr>
            <w:r w:rsidRPr="003C7A36">
              <w:t>Understand the team and unit objectives and align operational activities accordingly</w:t>
            </w:r>
          </w:p>
          <w:p w14:paraId="5EB46C43" w14:textId="77777777" w:rsidR="006F0836" w:rsidRPr="003C7A36" w:rsidRDefault="006F0836" w:rsidP="00A55204">
            <w:pPr>
              <w:pStyle w:val="TableBullet"/>
            </w:pPr>
            <w:r w:rsidRPr="003C7A36">
              <w:t>Initiate and develop team goals and plans, and use feedback to inform future planning</w:t>
            </w:r>
          </w:p>
          <w:p w14:paraId="4AAA25CC" w14:textId="77777777" w:rsidR="006F0836" w:rsidRPr="003C7A36" w:rsidRDefault="006F0836" w:rsidP="00A55204">
            <w:pPr>
              <w:pStyle w:val="TableBullet"/>
            </w:pPr>
            <w:r w:rsidRPr="003C7A36">
              <w:t>Respond proactively to changing circumstances and adjust plans and schedules when necessary</w:t>
            </w:r>
          </w:p>
          <w:p w14:paraId="7C78ECAE" w14:textId="77777777" w:rsidR="006F0836" w:rsidRPr="003C7A36" w:rsidRDefault="006F0836" w:rsidP="00A55204">
            <w:pPr>
              <w:pStyle w:val="TableBullet"/>
            </w:pPr>
            <w:r w:rsidRPr="003C7A36">
              <w:t>Consider the implications of immediate and longer-term organisational issues and how these might affect the achievement of team and unit goals</w:t>
            </w:r>
          </w:p>
          <w:p w14:paraId="461CCCCA" w14:textId="77777777" w:rsidR="006F0836" w:rsidRPr="003C7A36" w:rsidRDefault="006F0836" w:rsidP="00A55204">
            <w:pPr>
              <w:pStyle w:val="TableBullet"/>
            </w:pPr>
            <w:r w:rsidRPr="003C7A36">
              <w:t>Accommodate and respond with initiative to changing priorities and operating environments</w:t>
            </w:r>
          </w:p>
        </w:tc>
        <w:tc>
          <w:tcPr>
            <w:tcW w:w="1668" w:type="dxa"/>
          </w:tcPr>
          <w:p w14:paraId="59E94BB4" w14:textId="77777777" w:rsidR="006F0836" w:rsidRPr="006F0836" w:rsidRDefault="004C659E" w:rsidP="00544127">
            <w:pPr>
              <w:pStyle w:val="TableText"/>
            </w:pPr>
            <w:r w:rsidRPr="004C659E">
              <w:t>Intermediate</w:t>
            </w:r>
          </w:p>
        </w:tc>
      </w:tr>
      <w:tr w:rsidR="006F0836" w:rsidRPr="003C7A36" w14:paraId="751E5FE7" w14:textId="77777777" w:rsidTr="004C659E">
        <w:trPr>
          <w:cantSplit/>
        </w:trPr>
        <w:tc>
          <w:tcPr>
            <w:tcW w:w="1385" w:type="dxa"/>
          </w:tcPr>
          <w:p w14:paraId="2FB72193"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F338079" wp14:editId="55D49C04">
                  <wp:extent cx="749300" cy="749300"/>
                  <wp:effectExtent l="0" t="0" r="0" b="0"/>
                  <wp:docPr id="8580"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F8FD853" w14:textId="77777777" w:rsidR="00667FCB" w:rsidRDefault="006F0836" w:rsidP="004A1A64">
            <w:pPr>
              <w:rPr>
                <w:rFonts w:cs="Arial"/>
                <w:color w:val="000000"/>
                <w:sz w:val="20"/>
              </w:rPr>
            </w:pPr>
            <w:r w:rsidRPr="003C7A36">
              <w:rPr>
                <w:rFonts w:cs="Arial"/>
                <w:b/>
                <w:bCs/>
                <w:color w:val="000000"/>
                <w:sz w:val="20"/>
              </w:rPr>
              <w:t>Think and Solve Problems</w:t>
            </w:r>
          </w:p>
          <w:p w14:paraId="6C6AAC69" w14:textId="77777777" w:rsidR="006F0836" w:rsidRPr="00667FCB" w:rsidRDefault="006F0836" w:rsidP="004A1A64">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53652431" w14:textId="77777777" w:rsidR="006F0836" w:rsidRPr="003C7A36" w:rsidRDefault="006F0836" w:rsidP="00A55204">
            <w:pPr>
              <w:pStyle w:val="TableBullet"/>
            </w:pPr>
            <w:r w:rsidRPr="003C7A36">
              <w:t>Research and apply critical-thinking techniques in analysing information, identify interrelationships and make recommendations based on relevant evidence</w:t>
            </w:r>
          </w:p>
          <w:p w14:paraId="6A2A42F1" w14:textId="77777777" w:rsidR="006F0836" w:rsidRPr="003C7A36" w:rsidRDefault="006F0836" w:rsidP="00A55204">
            <w:pPr>
              <w:pStyle w:val="TableBullet"/>
            </w:pPr>
            <w:r w:rsidRPr="003C7A36">
              <w:t>Anticipate, identify and address issues and potential problems that may have an impact on organisational objectives and the user experience</w:t>
            </w:r>
          </w:p>
          <w:p w14:paraId="7256FAE7" w14:textId="77777777" w:rsidR="006F0836" w:rsidRPr="003C7A36" w:rsidRDefault="006F0836" w:rsidP="00A55204">
            <w:pPr>
              <w:pStyle w:val="TableBullet"/>
            </w:pPr>
            <w:r w:rsidRPr="003C7A36">
              <w:t>Apply creative-thinking techniques to generate new ideas and options to address issues and improve the user experience</w:t>
            </w:r>
          </w:p>
          <w:p w14:paraId="0DE46A94" w14:textId="77777777" w:rsidR="006F0836" w:rsidRPr="003C7A36" w:rsidRDefault="006F0836" w:rsidP="00A55204">
            <w:pPr>
              <w:pStyle w:val="TableBullet"/>
            </w:pPr>
            <w:r w:rsidRPr="003C7A36">
              <w:t>Seek contributions and ideas from people with diverse backgrounds and experience</w:t>
            </w:r>
          </w:p>
          <w:p w14:paraId="0ED97095" w14:textId="77777777" w:rsidR="006F0836" w:rsidRPr="003C7A36" w:rsidRDefault="006F0836" w:rsidP="00A55204">
            <w:pPr>
              <w:pStyle w:val="TableBullet"/>
            </w:pPr>
            <w:r w:rsidRPr="003C7A36">
              <w:t>Participate in and contribute to team or unit initiatives to resolve common issues or barriers to effectiveness</w:t>
            </w:r>
          </w:p>
          <w:p w14:paraId="46C0BC2D" w14:textId="77777777" w:rsidR="006F0836" w:rsidRPr="003C7A36" w:rsidRDefault="006F0836" w:rsidP="00A55204">
            <w:pPr>
              <w:pStyle w:val="TableBullet"/>
            </w:pPr>
            <w:r w:rsidRPr="003C7A36">
              <w:t>Identify and share business process improvements to enhance effectiveness</w:t>
            </w:r>
          </w:p>
        </w:tc>
        <w:tc>
          <w:tcPr>
            <w:tcW w:w="1668" w:type="dxa"/>
          </w:tcPr>
          <w:p w14:paraId="6AFFDF17" w14:textId="77777777" w:rsidR="006F0836" w:rsidRPr="006F0836" w:rsidRDefault="004C659E" w:rsidP="00544127">
            <w:pPr>
              <w:pStyle w:val="TableText"/>
            </w:pPr>
            <w:r w:rsidRPr="004C659E">
              <w:t>Adept</w:t>
            </w:r>
          </w:p>
        </w:tc>
      </w:tr>
      <w:tr w:rsidR="006F0836" w:rsidRPr="003C7A36" w14:paraId="2DF98139" w14:textId="77777777" w:rsidTr="004C659E">
        <w:trPr>
          <w:cantSplit/>
        </w:trPr>
        <w:tc>
          <w:tcPr>
            <w:tcW w:w="1385" w:type="dxa"/>
          </w:tcPr>
          <w:p w14:paraId="29520626"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8721B2C" wp14:editId="2C893908">
                  <wp:extent cx="749300" cy="749300"/>
                  <wp:effectExtent l="0" t="0" r="0" b="0"/>
                  <wp:docPr id="2175"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AC2A291" w14:textId="77777777" w:rsidR="00667FCB" w:rsidRDefault="006F0836" w:rsidP="004A1A64">
            <w:pPr>
              <w:rPr>
                <w:rFonts w:cs="Arial"/>
                <w:color w:val="000000"/>
                <w:sz w:val="20"/>
              </w:rPr>
            </w:pPr>
            <w:r w:rsidRPr="003C7A36">
              <w:rPr>
                <w:rFonts w:cs="Arial"/>
                <w:b/>
                <w:bCs/>
                <w:color w:val="000000"/>
                <w:sz w:val="20"/>
              </w:rPr>
              <w:t>Project Management</w:t>
            </w:r>
          </w:p>
          <w:p w14:paraId="27E36873" w14:textId="77777777" w:rsidR="006F0836" w:rsidRPr="00667FCB" w:rsidRDefault="006F0836" w:rsidP="004A1A64">
            <w:pPr>
              <w:rPr>
                <w:rFonts w:cs="Arial"/>
                <w:color w:val="000000"/>
                <w:sz w:val="20"/>
              </w:rPr>
            </w:pPr>
            <w:r w:rsidRPr="003C7A36">
              <w:rPr>
                <w:rFonts w:cs="Arial"/>
                <w:color w:val="000000"/>
                <w:sz w:val="20"/>
              </w:rPr>
              <w:t>Understand and apply effective planning, coordination and control methods</w:t>
            </w:r>
          </w:p>
        </w:tc>
        <w:tc>
          <w:tcPr>
            <w:tcW w:w="4709" w:type="dxa"/>
          </w:tcPr>
          <w:p w14:paraId="5A2ABA19" w14:textId="77777777" w:rsidR="006F0836" w:rsidRPr="003C7A36" w:rsidRDefault="006F0836" w:rsidP="00A55204">
            <w:pPr>
              <w:pStyle w:val="TableBullet"/>
            </w:pPr>
            <w:r w:rsidRPr="003C7A36">
              <w:t>Understand all components of the project management process, including the need to consider change management to realise business benefits</w:t>
            </w:r>
          </w:p>
          <w:p w14:paraId="3432455F" w14:textId="77777777" w:rsidR="006F0836" w:rsidRPr="003C7A36" w:rsidRDefault="006F0836" w:rsidP="00A55204">
            <w:pPr>
              <w:pStyle w:val="TableBullet"/>
            </w:pPr>
            <w:r w:rsidRPr="003C7A36">
              <w:t>Prepare clear project proposals and accurate estimates of required costs and resources</w:t>
            </w:r>
          </w:p>
          <w:p w14:paraId="079C23C2" w14:textId="77777777" w:rsidR="006F0836" w:rsidRPr="003C7A36" w:rsidRDefault="006F0836" w:rsidP="00A55204">
            <w:pPr>
              <w:pStyle w:val="TableBullet"/>
            </w:pPr>
            <w:r w:rsidRPr="003C7A36">
              <w:t>Establish performance outcomes and measures for key project goals, and define monitoring, reporting and communication requirements</w:t>
            </w:r>
          </w:p>
          <w:p w14:paraId="0C147F94" w14:textId="77777777" w:rsidR="006F0836" w:rsidRPr="003C7A36" w:rsidRDefault="006F0836" w:rsidP="00A55204">
            <w:pPr>
              <w:pStyle w:val="TableBullet"/>
            </w:pPr>
            <w:r w:rsidRPr="003C7A36">
              <w:t>Identify and evaluate risks associated with the project and develop mitigation strategies</w:t>
            </w:r>
          </w:p>
          <w:p w14:paraId="096F09CA" w14:textId="77777777" w:rsidR="006F0836" w:rsidRPr="003C7A36" w:rsidRDefault="006F0836" w:rsidP="00A55204">
            <w:pPr>
              <w:pStyle w:val="TableBullet"/>
            </w:pPr>
            <w:r w:rsidRPr="003C7A36">
              <w:t>Identify and consult stakeholders to inform the project strategy</w:t>
            </w:r>
          </w:p>
          <w:p w14:paraId="03D746A1" w14:textId="77777777" w:rsidR="006F0836" w:rsidRPr="003C7A36" w:rsidRDefault="006F0836" w:rsidP="00A55204">
            <w:pPr>
              <w:pStyle w:val="TableBullet"/>
            </w:pPr>
            <w:r w:rsidRPr="003C7A36">
              <w:t>Communicate the project’s objectives and its expected benefits</w:t>
            </w:r>
          </w:p>
          <w:p w14:paraId="74BD4376" w14:textId="77777777" w:rsidR="006F0836" w:rsidRPr="003C7A36" w:rsidRDefault="006F0836" w:rsidP="00A55204">
            <w:pPr>
              <w:pStyle w:val="TableBullet"/>
            </w:pPr>
            <w:r w:rsidRPr="003C7A36">
              <w:t>Monitor the completion of project milestones against goals and take necessary action</w:t>
            </w:r>
          </w:p>
          <w:p w14:paraId="1BD1EFD1" w14:textId="77777777" w:rsidR="006F0836" w:rsidRPr="003C7A36" w:rsidRDefault="006F0836" w:rsidP="00A55204">
            <w:pPr>
              <w:pStyle w:val="TableBullet"/>
            </w:pPr>
            <w:r w:rsidRPr="003C7A36">
              <w:t>Evaluate progress and identify improvements to inform future projects</w:t>
            </w:r>
          </w:p>
        </w:tc>
        <w:tc>
          <w:tcPr>
            <w:tcW w:w="1668" w:type="dxa"/>
          </w:tcPr>
          <w:p w14:paraId="5FE9F8C5" w14:textId="77777777" w:rsidR="006F0836" w:rsidRPr="006F0836" w:rsidRDefault="004C659E" w:rsidP="00544127">
            <w:pPr>
              <w:pStyle w:val="TableText"/>
            </w:pPr>
            <w:r w:rsidRPr="004C659E">
              <w:t>Adept</w:t>
            </w:r>
          </w:p>
        </w:tc>
      </w:tr>
      <w:tr w:rsidR="006F0836" w:rsidRPr="003C7A36" w14:paraId="626A2C9B" w14:textId="77777777" w:rsidTr="004C659E">
        <w:trPr>
          <w:cantSplit/>
        </w:trPr>
        <w:tc>
          <w:tcPr>
            <w:tcW w:w="1385" w:type="dxa"/>
          </w:tcPr>
          <w:p w14:paraId="57DF3183"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75DBDC7" wp14:editId="524634E9">
                  <wp:extent cx="749300" cy="749300"/>
                  <wp:effectExtent l="0" t="0" r="0" b="0"/>
                  <wp:docPr id="540"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87B4535" w14:textId="77777777" w:rsidR="00667FCB" w:rsidRDefault="006F0836" w:rsidP="004A1A64">
            <w:pPr>
              <w:rPr>
                <w:rFonts w:cs="Arial"/>
                <w:color w:val="000000"/>
                <w:sz w:val="20"/>
              </w:rPr>
            </w:pPr>
            <w:r w:rsidRPr="003C7A36">
              <w:rPr>
                <w:rFonts w:cs="Arial"/>
                <w:b/>
                <w:bCs/>
                <w:color w:val="000000"/>
                <w:sz w:val="20"/>
              </w:rPr>
              <w:t>Manage and Develop People</w:t>
            </w:r>
          </w:p>
          <w:p w14:paraId="1C1ADB32" w14:textId="77777777" w:rsidR="006F0836" w:rsidRPr="00667FCB" w:rsidRDefault="006F0836" w:rsidP="004A1A64">
            <w:pPr>
              <w:rPr>
                <w:rFonts w:cs="Arial"/>
                <w:color w:val="000000"/>
                <w:sz w:val="20"/>
              </w:rPr>
            </w:pPr>
            <w:r w:rsidRPr="003C7A36">
              <w:rPr>
                <w:rFonts w:cs="Arial"/>
                <w:color w:val="000000"/>
                <w:sz w:val="20"/>
              </w:rPr>
              <w:t>Engage and motivate staff, and develop capability and potential in others</w:t>
            </w:r>
          </w:p>
        </w:tc>
        <w:tc>
          <w:tcPr>
            <w:tcW w:w="4709" w:type="dxa"/>
          </w:tcPr>
          <w:p w14:paraId="4D57D7F1" w14:textId="77777777" w:rsidR="006F0836" w:rsidRPr="003C7A36" w:rsidRDefault="006F0836" w:rsidP="00A55204">
            <w:pPr>
              <w:pStyle w:val="TableBullet"/>
            </w:pPr>
            <w:r w:rsidRPr="003C7A36">
              <w:t>Collaborate to set clear performance standards and deadlines in line with established performance development frameworks</w:t>
            </w:r>
          </w:p>
          <w:p w14:paraId="3E041D08" w14:textId="77777777" w:rsidR="006F0836" w:rsidRPr="003C7A36" w:rsidRDefault="006F0836" w:rsidP="00A55204">
            <w:pPr>
              <w:pStyle w:val="TableBullet"/>
            </w:pPr>
            <w:r w:rsidRPr="003C7A36">
              <w:t>Look for ways to develop team capability and recognise and develop individual potential</w:t>
            </w:r>
          </w:p>
          <w:p w14:paraId="3EDA85A3" w14:textId="77777777" w:rsidR="006F0836" w:rsidRPr="003C7A36" w:rsidRDefault="006F0836" w:rsidP="00A55204">
            <w:pPr>
              <w:pStyle w:val="TableBullet"/>
            </w:pPr>
            <w:r w:rsidRPr="003C7A36">
              <w:t>Be constructive and build on strengths by giving timely and actionable feedback</w:t>
            </w:r>
          </w:p>
          <w:p w14:paraId="60458DDD" w14:textId="77777777" w:rsidR="006F0836" w:rsidRPr="003C7A36" w:rsidRDefault="006F0836" w:rsidP="00A55204">
            <w:pPr>
              <w:pStyle w:val="TableBullet"/>
            </w:pPr>
            <w:r w:rsidRPr="003C7A36">
              <w:t>Identify and act on opportunities to provide coaching and mentoring</w:t>
            </w:r>
          </w:p>
          <w:p w14:paraId="67603458" w14:textId="77777777" w:rsidR="006F0836" w:rsidRPr="003C7A36" w:rsidRDefault="006F0836" w:rsidP="00A55204">
            <w:pPr>
              <w:pStyle w:val="TableBullet"/>
            </w:pPr>
            <w:r w:rsidRPr="003C7A36">
              <w:t>Recognise performance issues that need to be addressed and work towards resolving issues</w:t>
            </w:r>
          </w:p>
          <w:p w14:paraId="70C504BC" w14:textId="77777777" w:rsidR="006F0836" w:rsidRPr="003C7A36" w:rsidRDefault="006F0836" w:rsidP="00A55204">
            <w:pPr>
              <w:pStyle w:val="TableBullet"/>
            </w:pPr>
            <w:r w:rsidRPr="003C7A36">
              <w:t>Effectively support and manage team members who are working flexibly and in various locations</w:t>
            </w:r>
          </w:p>
          <w:p w14:paraId="5153884C" w14:textId="77777777" w:rsidR="006F0836" w:rsidRPr="003C7A36" w:rsidRDefault="006F0836" w:rsidP="00A55204">
            <w:pPr>
              <w:pStyle w:val="TableBullet"/>
            </w:pPr>
            <w:r w:rsidRPr="003C7A36">
              <w:t>Create a safe environment where team members’ diverse backgrounds and cultures are considered and respected</w:t>
            </w:r>
          </w:p>
          <w:p w14:paraId="0CA0A9F3" w14:textId="77777777" w:rsidR="006F0836" w:rsidRPr="003C7A36" w:rsidRDefault="006F0836" w:rsidP="00A55204">
            <w:pPr>
              <w:pStyle w:val="TableBullet"/>
            </w:pPr>
            <w:r w:rsidRPr="003C7A36">
              <w:t>Consider feedback on own management style and reflect on potential areas to improve</w:t>
            </w:r>
          </w:p>
        </w:tc>
        <w:tc>
          <w:tcPr>
            <w:tcW w:w="1668" w:type="dxa"/>
          </w:tcPr>
          <w:p w14:paraId="0AA476B1" w14:textId="77777777" w:rsidR="006F0836" w:rsidRPr="006F0836" w:rsidRDefault="004C659E" w:rsidP="00544127">
            <w:pPr>
              <w:pStyle w:val="TableText"/>
            </w:pPr>
            <w:r w:rsidRPr="004C659E">
              <w:t>Intermediate</w:t>
            </w:r>
          </w:p>
        </w:tc>
      </w:tr>
    </w:tbl>
    <w:p w14:paraId="1E3E1B04" w14:textId="77777777" w:rsidR="00A7563F" w:rsidRDefault="00A7563F"/>
    <w:p w14:paraId="4F9F20B9" w14:textId="77777777" w:rsidR="00372FE9" w:rsidRDefault="00372FE9" w:rsidP="00372FE9"/>
    <w:p w14:paraId="26B742DC" w14:textId="77777777" w:rsidR="009E0B71" w:rsidRDefault="009E0B71" w:rsidP="000C453F">
      <w:pPr>
        <w:pStyle w:val="Heading2"/>
      </w:pPr>
      <w:r>
        <w:t>Complementary capabilities</w:t>
      </w:r>
    </w:p>
    <w:p w14:paraId="5F8CA9BE"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3258C43A"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126CB59F"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1057D035" w14:textId="77777777" w:rsidTr="00CB1DBE">
        <w:trPr>
          <w:cnfStyle w:val="100000000000" w:firstRow="1" w:lastRow="0" w:firstColumn="0" w:lastColumn="0" w:oddVBand="0" w:evenVBand="0" w:oddHBand="0" w:evenHBand="0" w:firstRowFirstColumn="0" w:firstRowLastColumn="0" w:lastRowFirstColumn="0" w:lastRowLastColumn="0"/>
          <w:cantSplit/>
          <w:tblHeader/>
        </w:trPr>
        <w:tc>
          <w:tcPr>
            <w:tcW w:w="1276" w:type="dxa"/>
            <w:shd w:val="clear" w:color="auto" w:fill="BFBFBF" w:themeFill="background1" w:themeFillShade="BF"/>
            <w:vAlign w:val="center"/>
          </w:tcPr>
          <w:p w14:paraId="6F80525A"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28E42C60"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54872515"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5FA67809" w14:textId="77777777" w:rsidR="00372FE9" w:rsidRPr="00372FE9" w:rsidRDefault="00372FE9" w:rsidP="00372FE9">
            <w:pPr>
              <w:rPr>
                <w:b/>
                <w:bCs/>
                <w:sz w:val="20"/>
              </w:rPr>
            </w:pPr>
            <w:r w:rsidRPr="00372FE9">
              <w:rPr>
                <w:b/>
                <w:bCs/>
                <w:sz w:val="20"/>
              </w:rPr>
              <w:t>Level</w:t>
            </w:r>
          </w:p>
        </w:tc>
      </w:tr>
      <w:tr w:rsidR="00372FE9" w:rsidRPr="00372FE9" w14:paraId="5BFD5390" w14:textId="77777777" w:rsidTr="004C659E">
        <w:trPr>
          <w:cantSplit/>
        </w:trPr>
        <w:tc>
          <w:tcPr>
            <w:tcW w:w="1276" w:type="dxa"/>
          </w:tcPr>
          <w:p w14:paraId="13DB3A0D" w14:textId="77777777" w:rsidR="00372FE9" w:rsidRPr="00372FE9" w:rsidRDefault="00372FE9" w:rsidP="00372FE9">
            <w:pPr>
              <w:rPr>
                <w:sz w:val="20"/>
              </w:rPr>
            </w:pPr>
            <w:r w:rsidRPr="00372FE9">
              <w:rPr>
                <w:noProof/>
                <w:sz w:val="20"/>
                <w:lang w:eastAsia="en-AU"/>
              </w:rPr>
              <w:drawing>
                <wp:inline distT="0" distB="0" distL="0" distR="0" wp14:anchorId="6A68C2A2" wp14:editId="4FFFA195">
                  <wp:extent cx="416966" cy="416966"/>
                  <wp:effectExtent l="0" t="0" r="2540" b="2540"/>
                  <wp:docPr id="412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4ED26C" w14:textId="77777777" w:rsidR="00372FE9" w:rsidRPr="00372FE9" w:rsidRDefault="00372FE9" w:rsidP="00544127">
            <w:pPr>
              <w:pStyle w:val="TableText"/>
            </w:pPr>
            <w:r w:rsidRPr="00372FE9">
              <w:t>Display Resilience and Courage</w:t>
            </w:r>
          </w:p>
        </w:tc>
        <w:tc>
          <w:tcPr>
            <w:tcW w:w="4851" w:type="dxa"/>
          </w:tcPr>
          <w:p w14:paraId="56EB60EF"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1EF299A7" w14:textId="77777777" w:rsidR="00372FE9" w:rsidRPr="00372FE9" w:rsidRDefault="004C659E" w:rsidP="00544127">
            <w:pPr>
              <w:pStyle w:val="TableText"/>
            </w:pPr>
            <w:r w:rsidRPr="004C659E">
              <w:t>Foundational</w:t>
            </w:r>
          </w:p>
        </w:tc>
      </w:tr>
      <w:tr w:rsidR="00372FE9" w:rsidRPr="00372FE9" w14:paraId="6CB4D1BC" w14:textId="77777777" w:rsidTr="004C659E">
        <w:trPr>
          <w:cantSplit/>
        </w:trPr>
        <w:tc>
          <w:tcPr>
            <w:tcW w:w="1276" w:type="dxa"/>
          </w:tcPr>
          <w:p w14:paraId="207BA87C" w14:textId="77777777" w:rsidR="00372FE9" w:rsidRPr="00372FE9" w:rsidRDefault="00372FE9" w:rsidP="00372FE9">
            <w:pPr>
              <w:rPr>
                <w:sz w:val="20"/>
              </w:rPr>
            </w:pPr>
            <w:r w:rsidRPr="00372FE9">
              <w:rPr>
                <w:noProof/>
                <w:sz w:val="20"/>
                <w:lang w:eastAsia="en-AU"/>
              </w:rPr>
              <w:drawing>
                <wp:inline distT="0" distB="0" distL="0" distR="0" wp14:anchorId="1CE6BE14" wp14:editId="5B16BCC9">
                  <wp:extent cx="416966" cy="416966"/>
                  <wp:effectExtent l="0" t="0" r="2540" b="2540"/>
                  <wp:docPr id="770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2FB6979" w14:textId="77777777" w:rsidR="00372FE9" w:rsidRPr="00372FE9" w:rsidRDefault="00372FE9" w:rsidP="00544127">
            <w:pPr>
              <w:pStyle w:val="TableText"/>
            </w:pPr>
            <w:r w:rsidRPr="00372FE9">
              <w:t>Act with Integrity</w:t>
            </w:r>
          </w:p>
        </w:tc>
        <w:tc>
          <w:tcPr>
            <w:tcW w:w="4851" w:type="dxa"/>
          </w:tcPr>
          <w:p w14:paraId="420A2B49" w14:textId="77777777" w:rsidR="00372FE9" w:rsidRPr="00372FE9" w:rsidRDefault="00372FE9" w:rsidP="00544127">
            <w:pPr>
              <w:pStyle w:val="TableText"/>
            </w:pPr>
            <w:r w:rsidRPr="00372FE9">
              <w:t>Be ethical and professional, and uphold and promote the public sector values</w:t>
            </w:r>
          </w:p>
        </w:tc>
        <w:tc>
          <w:tcPr>
            <w:tcW w:w="1668" w:type="dxa"/>
          </w:tcPr>
          <w:p w14:paraId="1B2B71AE" w14:textId="77777777" w:rsidR="00372FE9" w:rsidRPr="00372FE9" w:rsidRDefault="004C659E" w:rsidP="00544127">
            <w:pPr>
              <w:pStyle w:val="TableText"/>
            </w:pPr>
            <w:r w:rsidRPr="004C659E">
              <w:t>Foundational</w:t>
            </w:r>
          </w:p>
        </w:tc>
      </w:tr>
      <w:tr w:rsidR="00372FE9" w:rsidRPr="00372FE9" w14:paraId="71BCCD43" w14:textId="77777777" w:rsidTr="004C659E">
        <w:trPr>
          <w:cantSplit/>
        </w:trPr>
        <w:tc>
          <w:tcPr>
            <w:tcW w:w="1276" w:type="dxa"/>
          </w:tcPr>
          <w:p w14:paraId="6FDF1BF8" w14:textId="77777777" w:rsidR="00372FE9" w:rsidRPr="00372FE9" w:rsidRDefault="00372FE9" w:rsidP="00372FE9">
            <w:pPr>
              <w:rPr>
                <w:sz w:val="20"/>
              </w:rPr>
            </w:pPr>
            <w:r w:rsidRPr="00372FE9">
              <w:rPr>
                <w:noProof/>
                <w:sz w:val="20"/>
                <w:lang w:eastAsia="en-AU"/>
              </w:rPr>
              <w:drawing>
                <wp:inline distT="0" distB="0" distL="0" distR="0" wp14:anchorId="12555BB7" wp14:editId="6FAC3626">
                  <wp:extent cx="416966" cy="416966"/>
                  <wp:effectExtent l="0" t="0" r="2540" b="2540"/>
                  <wp:docPr id="607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D40F0E7" w14:textId="77777777" w:rsidR="00372FE9" w:rsidRPr="00372FE9" w:rsidRDefault="00372FE9" w:rsidP="00544127">
            <w:pPr>
              <w:pStyle w:val="TableText"/>
            </w:pPr>
            <w:r w:rsidRPr="00372FE9">
              <w:t>Value Diversity and Inclusion</w:t>
            </w:r>
          </w:p>
        </w:tc>
        <w:tc>
          <w:tcPr>
            <w:tcW w:w="4851" w:type="dxa"/>
          </w:tcPr>
          <w:p w14:paraId="1F66B8D8" w14:textId="77777777" w:rsidR="00372FE9" w:rsidRPr="00372FE9" w:rsidRDefault="00372FE9" w:rsidP="00544127">
            <w:pPr>
              <w:pStyle w:val="TableText"/>
            </w:pPr>
            <w:r w:rsidRPr="00372FE9">
              <w:t>Demonstrate inclusive behaviour and show respect for diverse backgrounds, experiences and perspectives</w:t>
            </w:r>
          </w:p>
        </w:tc>
        <w:tc>
          <w:tcPr>
            <w:tcW w:w="1668" w:type="dxa"/>
          </w:tcPr>
          <w:p w14:paraId="42CDF1AA" w14:textId="77777777" w:rsidR="00372FE9" w:rsidRPr="00372FE9" w:rsidRDefault="004C659E" w:rsidP="00544127">
            <w:pPr>
              <w:pStyle w:val="TableText"/>
            </w:pPr>
            <w:r w:rsidRPr="004C659E">
              <w:t>Foundational</w:t>
            </w:r>
          </w:p>
        </w:tc>
      </w:tr>
      <w:tr w:rsidR="00372FE9" w:rsidRPr="00372FE9" w14:paraId="565D462E" w14:textId="77777777" w:rsidTr="004C659E">
        <w:trPr>
          <w:cantSplit/>
        </w:trPr>
        <w:tc>
          <w:tcPr>
            <w:tcW w:w="1276" w:type="dxa"/>
          </w:tcPr>
          <w:p w14:paraId="731B809E" w14:textId="77777777" w:rsidR="00372FE9" w:rsidRPr="00372FE9" w:rsidRDefault="00372FE9" w:rsidP="00372FE9">
            <w:pPr>
              <w:rPr>
                <w:sz w:val="20"/>
              </w:rPr>
            </w:pPr>
            <w:r w:rsidRPr="00372FE9">
              <w:rPr>
                <w:noProof/>
                <w:sz w:val="20"/>
                <w:lang w:eastAsia="en-AU"/>
              </w:rPr>
              <w:drawing>
                <wp:inline distT="0" distB="0" distL="0" distR="0" wp14:anchorId="3CA63243" wp14:editId="4EE301E4">
                  <wp:extent cx="416966" cy="416966"/>
                  <wp:effectExtent l="0" t="0" r="2540" b="2540"/>
                  <wp:docPr id="965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1222237" w14:textId="77777777" w:rsidR="00372FE9" w:rsidRPr="00372FE9" w:rsidRDefault="00372FE9" w:rsidP="00544127">
            <w:pPr>
              <w:pStyle w:val="TableText"/>
            </w:pPr>
            <w:r w:rsidRPr="00372FE9">
              <w:t>Work Collaboratively</w:t>
            </w:r>
          </w:p>
        </w:tc>
        <w:tc>
          <w:tcPr>
            <w:tcW w:w="4851" w:type="dxa"/>
          </w:tcPr>
          <w:p w14:paraId="1587525A" w14:textId="77777777" w:rsidR="00372FE9" w:rsidRPr="00372FE9" w:rsidRDefault="00372FE9" w:rsidP="00544127">
            <w:pPr>
              <w:pStyle w:val="TableText"/>
            </w:pPr>
            <w:r w:rsidRPr="00372FE9">
              <w:t>Collaborate with others and value their contribution</w:t>
            </w:r>
          </w:p>
        </w:tc>
        <w:tc>
          <w:tcPr>
            <w:tcW w:w="1668" w:type="dxa"/>
          </w:tcPr>
          <w:p w14:paraId="036F0D48" w14:textId="77777777" w:rsidR="00372FE9" w:rsidRPr="00372FE9" w:rsidRDefault="004C659E" w:rsidP="00544127">
            <w:pPr>
              <w:pStyle w:val="TableText"/>
            </w:pPr>
            <w:r w:rsidRPr="004C659E">
              <w:t>Intermediate</w:t>
            </w:r>
          </w:p>
        </w:tc>
      </w:tr>
      <w:tr w:rsidR="00372FE9" w:rsidRPr="00372FE9" w14:paraId="771F93F7" w14:textId="77777777" w:rsidTr="004C659E">
        <w:trPr>
          <w:cantSplit/>
        </w:trPr>
        <w:tc>
          <w:tcPr>
            <w:tcW w:w="1276" w:type="dxa"/>
          </w:tcPr>
          <w:p w14:paraId="535A2BB0" w14:textId="77777777" w:rsidR="00372FE9" w:rsidRPr="00372FE9" w:rsidRDefault="00372FE9" w:rsidP="00372FE9">
            <w:pPr>
              <w:rPr>
                <w:sz w:val="20"/>
              </w:rPr>
            </w:pPr>
            <w:r w:rsidRPr="00372FE9">
              <w:rPr>
                <w:noProof/>
                <w:sz w:val="20"/>
                <w:lang w:eastAsia="en-AU"/>
              </w:rPr>
              <w:drawing>
                <wp:inline distT="0" distB="0" distL="0" distR="0" wp14:anchorId="75CC6197" wp14:editId="3CC8CEEC">
                  <wp:extent cx="416966" cy="416966"/>
                  <wp:effectExtent l="0" t="0" r="2540" b="2540"/>
                  <wp:docPr id="802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54AE058" w14:textId="77777777" w:rsidR="00372FE9" w:rsidRPr="00372FE9" w:rsidRDefault="00372FE9" w:rsidP="00544127">
            <w:pPr>
              <w:pStyle w:val="TableText"/>
            </w:pPr>
            <w:r w:rsidRPr="00372FE9">
              <w:t xml:space="preserve">Influence and </w:t>
            </w:r>
            <w:proofErr w:type="gramStart"/>
            <w:r w:rsidRPr="00372FE9">
              <w:t>Negotiate</w:t>
            </w:r>
            <w:proofErr w:type="gramEnd"/>
          </w:p>
        </w:tc>
        <w:tc>
          <w:tcPr>
            <w:tcW w:w="4851" w:type="dxa"/>
          </w:tcPr>
          <w:p w14:paraId="648D6EE7" w14:textId="77777777" w:rsidR="00372FE9" w:rsidRPr="00372FE9" w:rsidRDefault="00372FE9" w:rsidP="00544127">
            <w:pPr>
              <w:pStyle w:val="TableText"/>
            </w:pPr>
            <w:r w:rsidRPr="00372FE9">
              <w:t>Gain consensus and commitment from others, and resolve issues and conflicts</w:t>
            </w:r>
          </w:p>
        </w:tc>
        <w:tc>
          <w:tcPr>
            <w:tcW w:w="1668" w:type="dxa"/>
          </w:tcPr>
          <w:p w14:paraId="20E47314" w14:textId="77777777" w:rsidR="00372FE9" w:rsidRPr="00372FE9" w:rsidRDefault="004C659E" w:rsidP="00544127">
            <w:pPr>
              <w:pStyle w:val="TableText"/>
            </w:pPr>
            <w:r w:rsidRPr="004C659E">
              <w:t>Intermediate</w:t>
            </w:r>
          </w:p>
        </w:tc>
      </w:tr>
      <w:tr w:rsidR="00372FE9" w:rsidRPr="00372FE9" w14:paraId="3BDAAB29" w14:textId="77777777" w:rsidTr="004C659E">
        <w:trPr>
          <w:cantSplit/>
        </w:trPr>
        <w:tc>
          <w:tcPr>
            <w:tcW w:w="1276" w:type="dxa"/>
          </w:tcPr>
          <w:p w14:paraId="117C526F" w14:textId="77777777" w:rsidR="00372FE9" w:rsidRPr="00372FE9" w:rsidRDefault="00372FE9" w:rsidP="00372FE9">
            <w:pPr>
              <w:rPr>
                <w:sz w:val="20"/>
              </w:rPr>
            </w:pPr>
            <w:r w:rsidRPr="00372FE9">
              <w:rPr>
                <w:noProof/>
                <w:sz w:val="20"/>
                <w:lang w:eastAsia="en-AU"/>
              </w:rPr>
              <w:drawing>
                <wp:inline distT="0" distB="0" distL="0" distR="0" wp14:anchorId="7EB71151" wp14:editId="50204B9B">
                  <wp:extent cx="416966" cy="416966"/>
                  <wp:effectExtent l="0" t="0" r="2540" b="2540"/>
                  <wp:docPr id="1619"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9732EC9" w14:textId="77777777" w:rsidR="00372FE9" w:rsidRPr="00372FE9" w:rsidRDefault="00372FE9" w:rsidP="00544127">
            <w:pPr>
              <w:pStyle w:val="TableText"/>
            </w:pPr>
            <w:r w:rsidRPr="00372FE9">
              <w:t>Deliver Results</w:t>
            </w:r>
          </w:p>
        </w:tc>
        <w:tc>
          <w:tcPr>
            <w:tcW w:w="4851" w:type="dxa"/>
          </w:tcPr>
          <w:p w14:paraId="02D6B349" w14:textId="77777777" w:rsidR="00372FE9" w:rsidRPr="00372FE9" w:rsidRDefault="00372FE9" w:rsidP="00544127">
            <w:pPr>
              <w:pStyle w:val="TableText"/>
            </w:pPr>
            <w:r w:rsidRPr="00372FE9">
              <w:t>Achieve results through the efficient use of resources and a commitment to quality outcomes</w:t>
            </w:r>
          </w:p>
        </w:tc>
        <w:tc>
          <w:tcPr>
            <w:tcW w:w="1668" w:type="dxa"/>
          </w:tcPr>
          <w:p w14:paraId="01A897F8" w14:textId="77777777" w:rsidR="00372FE9" w:rsidRPr="00372FE9" w:rsidRDefault="004C659E" w:rsidP="00544127">
            <w:pPr>
              <w:pStyle w:val="TableText"/>
            </w:pPr>
            <w:r w:rsidRPr="004C659E">
              <w:t>Intermediate</w:t>
            </w:r>
          </w:p>
        </w:tc>
      </w:tr>
      <w:tr w:rsidR="00372FE9" w:rsidRPr="00372FE9" w14:paraId="5D5D3EAD" w14:textId="77777777" w:rsidTr="004C659E">
        <w:trPr>
          <w:cantSplit/>
        </w:trPr>
        <w:tc>
          <w:tcPr>
            <w:tcW w:w="1276" w:type="dxa"/>
          </w:tcPr>
          <w:p w14:paraId="4EE518DB" w14:textId="77777777" w:rsidR="00372FE9" w:rsidRPr="00372FE9" w:rsidRDefault="00372FE9" w:rsidP="00372FE9">
            <w:pPr>
              <w:rPr>
                <w:sz w:val="20"/>
              </w:rPr>
            </w:pPr>
            <w:r w:rsidRPr="00372FE9">
              <w:rPr>
                <w:noProof/>
                <w:sz w:val="20"/>
                <w:lang w:eastAsia="en-AU"/>
              </w:rPr>
              <w:drawing>
                <wp:inline distT="0" distB="0" distL="0" distR="0" wp14:anchorId="02016AD4" wp14:editId="0B6C019D">
                  <wp:extent cx="416966" cy="416966"/>
                  <wp:effectExtent l="0" t="0" r="2540" b="2540"/>
                  <wp:docPr id="520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5F775E8" w14:textId="77777777" w:rsidR="00372FE9" w:rsidRPr="00372FE9" w:rsidRDefault="00372FE9" w:rsidP="00544127">
            <w:pPr>
              <w:pStyle w:val="TableText"/>
            </w:pPr>
            <w:r w:rsidRPr="00372FE9">
              <w:t>Demonstrate Accountability</w:t>
            </w:r>
          </w:p>
        </w:tc>
        <w:tc>
          <w:tcPr>
            <w:tcW w:w="4851" w:type="dxa"/>
          </w:tcPr>
          <w:p w14:paraId="417311C9" w14:textId="77777777" w:rsidR="00372FE9" w:rsidRPr="00372FE9" w:rsidRDefault="00372FE9" w:rsidP="00544127">
            <w:pPr>
              <w:pStyle w:val="TableText"/>
            </w:pPr>
            <w:r w:rsidRPr="00372FE9">
              <w:t>Be proactive and responsible for own actions, and adhere to legislation, policy and guidelines</w:t>
            </w:r>
          </w:p>
        </w:tc>
        <w:tc>
          <w:tcPr>
            <w:tcW w:w="1668" w:type="dxa"/>
          </w:tcPr>
          <w:p w14:paraId="767E10F3" w14:textId="77777777" w:rsidR="00372FE9" w:rsidRPr="00372FE9" w:rsidRDefault="004C659E" w:rsidP="00544127">
            <w:pPr>
              <w:pStyle w:val="TableText"/>
            </w:pPr>
            <w:r w:rsidRPr="004C659E">
              <w:t>Intermediate</w:t>
            </w:r>
          </w:p>
        </w:tc>
      </w:tr>
      <w:tr w:rsidR="00372FE9" w:rsidRPr="00372FE9" w14:paraId="1B36E702" w14:textId="77777777" w:rsidTr="004C659E">
        <w:trPr>
          <w:cantSplit/>
        </w:trPr>
        <w:tc>
          <w:tcPr>
            <w:tcW w:w="1276" w:type="dxa"/>
          </w:tcPr>
          <w:p w14:paraId="5D3A4B30" w14:textId="77777777" w:rsidR="00372FE9" w:rsidRPr="00372FE9" w:rsidRDefault="00372FE9" w:rsidP="00372FE9">
            <w:pPr>
              <w:rPr>
                <w:sz w:val="20"/>
              </w:rPr>
            </w:pPr>
            <w:r w:rsidRPr="00372FE9">
              <w:rPr>
                <w:noProof/>
                <w:sz w:val="20"/>
                <w:lang w:eastAsia="en-AU"/>
              </w:rPr>
              <w:drawing>
                <wp:inline distT="0" distB="0" distL="0" distR="0" wp14:anchorId="49869929" wp14:editId="4BAEA269">
                  <wp:extent cx="416966" cy="416966"/>
                  <wp:effectExtent l="0" t="0" r="2540" b="2540"/>
                  <wp:docPr id="356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0635033" w14:textId="77777777" w:rsidR="00372FE9" w:rsidRPr="00372FE9" w:rsidRDefault="00372FE9" w:rsidP="00544127">
            <w:pPr>
              <w:pStyle w:val="TableText"/>
            </w:pPr>
            <w:r w:rsidRPr="00372FE9">
              <w:t>Finance</w:t>
            </w:r>
          </w:p>
        </w:tc>
        <w:tc>
          <w:tcPr>
            <w:tcW w:w="4851" w:type="dxa"/>
          </w:tcPr>
          <w:p w14:paraId="1D086D40"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6753F6FB" w14:textId="77777777" w:rsidR="00372FE9" w:rsidRPr="00372FE9" w:rsidRDefault="004C659E" w:rsidP="00544127">
            <w:pPr>
              <w:pStyle w:val="TableText"/>
            </w:pPr>
            <w:r w:rsidRPr="004C659E">
              <w:t>Intermediate</w:t>
            </w:r>
          </w:p>
        </w:tc>
      </w:tr>
      <w:tr w:rsidR="00372FE9" w:rsidRPr="00372FE9" w14:paraId="03824D1C" w14:textId="77777777" w:rsidTr="004C659E">
        <w:trPr>
          <w:cantSplit/>
        </w:trPr>
        <w:tc>
          <w:tcPr>
            <w:tcW w:w="1276" w:type="dxa"/>
          </w:tcPr>
          <w:p w14:paraId="2448F9D1" w14:textId="77777777" w:rsidR="00372FE9" w:rsidRPr="00372FE9" w:rsidRDefault="00372FE9" w:rsidP="00372FE9">
            <w:pPr>
              <w:rPr>
                <w:sz w:val="20"/>
              </w:rPr>
            </w:pPr>
            <w:r w:rsidRPr="00372FE9">
              <w:rPr>
                <w:noProof/>
                <w:sz w:val="20"/>
                <w:lang w:eastAsia="en-AU"/>
              </w:rPr>
              <w:drawing>
                <wp:inline distT="0" distB="0" distL="0" distR="0" wp14:anchorId="05996F9D" wp14:editId="6A5B88DD">
                  <wp:extent cx="416966" cy="416966"/>
                  <wp:effectExtent l="0" t="0" r="2540" b="2540"/>
                  <wp:docPr id="7153"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EA48259" w14:textId="77777777" w:rsidR="00372FE9" w:rsidRPr="00372FE9" w:rsidRDefault="00372FE9" w:rsidP="00544127">
            <w:pPr>
              <w:pStyle w:val="TableText"/>
            </w:pPr>
            <w:r w:rsidRPr="00372FE9">
              <w:t>Technology</w:t>
            </w:r>
          </w:p>
        </w:tc>
        <w:tc>
          <w:tcPr>
            <w:tcW w:w="4851" w:type="dxa"/>
          </w:tcPr>
          <w:p w14:paraId="28294562"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52578B28" w14:textId="77777777" w:rsidR="00372FE9" w:rsidRPr="00372FE9" w:rsidRDefault="004C659E" w:rsidP="00544127">
            <w:pPr>
              <w:pStyle w:val="TableText"/>
            </w:pPr>
            <w:r w:rsidRPr="004C659E">
              <w:t>Intermediate</w:t>
            </w:r>
          </w:p>
        </w:tc>
      </w:tr>
      <w:tr w:rsidR="00372FE9" w:rsidRPr="00372FE9" w14:paraId="1808CDED" w14:textId="77777777" w:rsidTr="004C659E">
        <w:trPr>
          <w:cantSplit/>
        </w:trPr>
        <w:tc>
          <w:tcPr>
            <w:tcW w:w="1276" w:type="dxa"/>
          </w:tcPr>
          <w:p w14:paraId="38D4DAE7" w14:textId="77777777" w:rsidR="00372FE9" w:rsidRPr="00372FE9" w:rsidRDefault="00372FE9" w:rsidP="00372FE9">
            <w:pPr>
              <w:rPr>
                <w:sz w:val="20"/>
              </w:rPr>
            </w:pPr>
            <w:r w:rsidRPr="00372FE9">
              <w:rPr>
                <w:noProof/>
                <w:sz w:val="20"/>
                <w:lang w:eastAsia="en-AU"/>
              </w:rPr>
              <w:drawing>
                <wp:inline distT="0" distB="0" distL="0" distR="0" wp14:anchorId="549E7447" wp14:editId="5DDFBA82">
                  <wp:extent cx="416966" cy="416966"/>
                  <wp:effectExtent l="0" t="0" r="2540" b="2540"/>
                  <wp:docPr id="74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8DE9E71" w14:textId="77777777" w:rsidR="00372FE9" w:rsidRPr="00372FE9" w:rsidRDefault="00372FE9" w:rsidP="00544127">
            <w:pPr>
              <w:pStyle w:val="TableText"/>
            </w:pPr>
            <w:r w:rsidRPr="00372FE9">
              <w:t>Procurement and Contract Management</w:t>
            </w:r>
          </w:p>
        </w:tc>
        <w:tc>
          <w:tcPr>
            <w:tcW w:w="4851" w:type="dxa"/>
          </w:tcPr>
          <w:p w14:paraId="6F713CAD"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66319AB4" w14:textId="77777777" w:rsidR="00372FE9" w:rsidRPr="00372FE9" w:rsidRDefault="004C659E" w:rsidP="00544127">
            <w:pPr>
              <w:pStyle w:val="TableText"/>
            </w:pPr>
            <w:r w:rsidRPr="004C659E">
              <w:t>Intermediate</w:t>
            </w:r>
          </w:p>
        </w:tc>
      </w:tr>
      <w:tr w:rsidR="00372FE9" w:rsidRPr="00372FE9" w14:paraId="65C231D9" w14:textId="77777777" w:rsidTr="004C659E">
        <w:trPr>
          <w:cantSplit/>
        </w:trPr>
        <w:tc>
          <w:tcPr>
            <w:tcW w:w="1276" w:type="dxa"/>
          </w:tcPr>
          <w:p w14:paraId="24D0AB1B" w14:textId="77777777" w:rsidR="00372FE9" w:rsidRPr="00372FE9" w:rsidRDefault="00372FE9" w:rsidP="00372FE9">
            <w:pPr>
              <w:rPr>
                <w:sz w:val="20"/>
              </w:rPr>
            </w:pPr>
            <w:r w:rsidRPr="00372FE9">
              <w:rPr>
                <w:noProof/>
                <w:sz w:val="20"/>
                <w:lang w:eastAsia="en-AU"/>
              </w:rPr>
              <w:drawing>
                <wp:inline distT="0" distB="0" distL="0" distR="0" wp14:anchorId="6B02EA96" wp14:editId="69EE62C4">
                  <wp:extent cx="416966" cy="416966"/>
                  <wp:effectExtent l="0" t="0" r="2540" b="2540"/>
                  <wp:docPr id="9103"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440F283" w14:textId="77777777" w:rsidR="00372FE9" w:rsidRPr="00372FE9" w:rsidRDefault="00372FE9" w:rsidP="00544127">
            <w:pPr>
              <w:pStyle w:val="TableText"/>
            </w:pPr>
            <w:r w:rsidRPr="00372FE9">
              <w:t>Inspire Direction and Purpose</w:t>
            </w:r>
          </w:p>
        </w:tc>
        <w:tc>
          <w:tcPr>
            <w:tcW w:w="4851" w:type="dxa"/>
          </w:tcPr>
          <w:p w14:paraId="7AA48545" w14:textId="77777777" w:rsidR="00372FE9" w:rsidRPr="00372FE9" w:rsidRDefault="00372FE9" w:rsidP="00544127">
            <w:pPr>
              <w:pStyle w:val="TableText"/>
            </w:pPr>
            <w:r w:rsidRPr="00372FE9">
              <w:t>Communicate goals, priorities and vision, and recognise achievements</w:t>
            </w:r>
          </w:p>
        </w:tc>
        <w:tc>
          <w:tcPr>
            <w:tcW w:w="1668" w:type="dxa"/>
          </w:tcPr>
          <w:p w14:paraId="1499A7AC" w14:textId="77777777" w:rsidR="00372FE9" w:rsidRPr="00372FE9" w:rsidRDefault="004C659E" w:rsidP="00544127">
            <w:pPr>
              <w:pStyle w:val="TableText"/>
            </w:pPr>
            <w:r w:rsidRPr="004C659E">
              <w:t>Foundational</w:t>
            </w:r>
          </w:p>
        </w:tc>
      </w:tr>
      <w:tr w:rsidR="00372FE9" w:rsidRPr="00372FE9" w14:paraId="5F25C8A7" w14:textId="77777777" w:rsidTr="004C659E">
        <w:trPr>
          <w:cantSplit/>
        </w:trPr>
        <w:tc>
          <w:tcPr>
            <w:tcW w:w="1276" w:type="dxa"/>
          </w:tcPr>
          <w:p w14:paraId="65FF2CCB" w14:textId="77777777" w:rsidR="00372FE9" w:rsidRPr="00372FE9" w:rsidRDefault="00372FE9" w:rsidP="00372FE9">
            <w:pPr>
              <w:rPr>
                <w:sz w:val="20"/>
              </w:rPr>
            </w:pPr>
            <w:r w:rsidRPr="00372FE9">
              <w:rPr>
                <w:noProof/>
                <w:sz w:val="20"/>
                <w:lang w:eastAsia="en-AU"/>
              </w:rPr>
              <w:drawing>
                <wp:inline distT="0" distB="0" distL="0" distR="0" wp14:anchorId="794FF728" wp14:editId="0BC9A056">
                  <wp:extent cx="416966" cy="416966"/>
                  <wp:effectExtent l="0" t="0" r="2540" b="2540"/>
                  <wp:docPr id="2697"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9665538" w14:textId="77777777" w:rsidR="00372FE9" w:rsidRPr="00372FE9" w:rsidRDefault="00372FE9" w:rsidP="00544127">
            <w:pPr>
              <w:pStyle w:val="TableText"/>
            </w:pPr>
            <w:r w:rsidRPr="00372FE9">
              <w:t>Optimise Business Outcomes</w:t>
            </w:r>
          </w:p>
        </w:tc>
        <w:tc>
          <w:tcPr>
            <w:tcW w:w="4851" w:type="dxa"/>
          </w:tcPr>
          <w:p w14:paraId="35E00748" w14:textId="77777777" w:rsidR="00372FE9" w:rsidRPr="00372FE9" w:rsidRDefault="00372FE9" w:rsidP="00544127">
            <w:pPr>
              <w:pStyle w:val="TableText"/>
            </w:pPr>
            <w:r w:rsidRPr="00372FE9">
              <w:t>Manage people and resources effectively to achieve public value</w:t>
            </w:r>
          </w:p>
        </w:tc>
        <w:tc>
          <w:tcPr>
            <w:tcW w:w="1668" w:type="dxa"/>
          </w:tcPr>
          <w:p w14:paraId="6E842900" w14:textId="77777777" w:rsidR="00372FE9" w:rsidRPr="00372FE9" w:rsidRDefault="004C659E" w:rsidP="00544127">
            <w:pPr>
              <w:pStyle w:val="TableText"/>
            </w:pPr>
            <w:r w:rsidRPr="004C659E">
              <w:t>Foundational</w:t>
            </w:r>
          </w:p>
        </w:tc>
      </w:tr>
      <w:tr w:rsidR="00372FE9" w:rsidRPr="00372FE9" w14:paraId="122E5167" w14:textId="77777777" w:rsidTr="004C659E">
        <w:trPr>
          <w:cantSplit/>
        </w:trPr>
        <w:tc>
          <w:tcPr>
            <w:tcW w:w="1276" w:type="dxa"/>
          </w:tcPr>
          <w:p w14:paraId="478F9EFC" w14:textId="77777777" w:rsidR="00372FE9" w:rsidRPr="00372FE9" w:rsidRDefault="00372FE9" w:rsidP="00372FE9">
            <w:pPr>
              <w:rPr>
                <w:sz w:val="20"/>
              </w:rPr>
            </w:pPr>
            <w:r w:rsidRPr="00372FE9">
              <w:rPr>
                <w:noProof/>
                <w:sz w:val="20"/>
                <w:lang w:eastAsia="en-AU"/>
              </w:rPr>
              <w:drawing>
                <wp:inline distT="0" distB="0" distL="0" distR="0" wp14:anchorId="5118BECF" wp14:editId="3D5CF48D">
                  <wp:extent cx="416966" cy="416966"/>
                  <wp:effectExtent l="0" t="0" r="2540" b="2540"/>
                  <wp:docPr id="1063"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BD30E19" w14:textId="77777777" w:rsidR="00372FE9" w:rsidRPr="00372FE9" w:rsidRDefault="00372FE9" w:rsidP="00544127">
            <w:pPr>
              <w:pStyle w:val="TableText"/>
            </w:pPr>
            <w:r w:rsidRPr="00372FE9">
              <w:t>Manage Reform and Change</w:t>
            </w:r>
          </w:p>
        </w:tc>
        <w:tc>
          <w:tcPr>
            <w:tcW w:w="4851" w:type="dxa"/>
          </w:tcPr>
          <w:p w14:paraId="1AD0CC25" w14:textId="77777777" w:rsidR="00372FE9" w:rsidRPr="00372FE9" w:rsidRDefault="00372FE9" w:rsidP="00544127">
            <w:pPr>
              <w:pStyle w:val="TableText"/>
            </w:pPr>
            <w:r w:rsidRPr="00372FE9">
              <w:t>Support, promote and champion change, and assist others to engage with change</w:t>
            </w:r>
          </w:p>
        </w:tc>
        <w:tc>
          <w:tcPr>
            <w:tcW w:w="1668" w:type="dxa"/>
          </w:tcPr>
          <w:p w14:paraId="5734730B" w14:textId="77777777" w:rsidR="00372FE9" w:rsidRPr="00372FE9" w:rsidRDefault="004C659E" w:rsidP="00544127">
            <w:pPr>
              <w:pStyle w:val="TableText"/>
            </w:pPr>
            <w:r w:rsidRPr="004C659E">
              <w:t>Foundational</w:t>
            </w:r>
          </w:p>
        </w:tc>
      </w:tr>
      <w:bookmarkEnd w:id="5"/>
      <w:bookmarkEnd w:id="6"/>
      <w:bookmarkEnd w:id="7"/>
      <w:bookmarkEnd w:id="8"/>
    </w:tbl>
    <w:p w14:paraId="15F59F2F" w14:textId="77777777" w:rsidR="009E0B71" w:rsidRDefault="009E0B71" w:rsidP="001203EE">
      <w:pPr>
        <w:contextualSpacing/>
      </w:pPr>
    </w:p>
    <w:sectPr w:rsidR="009E0B71" w:rsidSect="00115AF2">
      <w:footerReference w:type="default" r:id="rId17"/>
      <w:footerReference w:type="first" r:id="rId18"/>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050C" w14:textId="77777777" w:rsidR="009B0F89" w:rsidRDefault="009B0F89" w:rsidP="00AC273D">
      <w:pPr>
        <w:spacing w:after="0"/>
      </w:pPr>
      <w:r>
        <w:separator/>
      </w:r>
    </w:p>
  </w:endnote>
  <w:endnote w:type="continuationSeparator" w:id="0">
    <w:p w14:paraId="349F57FF" w14:textId="77777777" w:rsidR="009B0F89" w:rsidRDefault="009B0F89"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70F8" w14:textId="6FFB9A72"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Visitor Services Coordinator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006109B7">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lang w:eastAsia="en-AU"/>
      </w:rPr>
      <w:drawing>
        <wp:inline distT="0" distB="0" distL="0" distR="0" wp14:anchorId="2945B60E" wp14:editId="7265EFCE">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0B9AB24A" w14:textId="77777777" w:rsidR="00A90F97" w:rsidRPr="001E2B26" w:rsidRDefault="00A90F97" w:rsidP="00051237">
    <w:pPr>
      <w:pStyle w:val="Footer"/>
      <w:rPr>
        <w:sz w:val="12"/>
        <w:szCs w:val="12"/>
      </w:rPr>
    </w:pPr>
  </w:p>
  <w:p w14:paraId="48B66C57"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92CF"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2393DBB4"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lang w:eastAsia="en-AU"/>
      </w:rPr>
      <w:drawing>
        <wp:inline distT="0" distB="0" distL="0" distR="0" wp14:anchorId="4BAD9EEE" wp14:editId="5EB6FC48">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7A604D52"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D14C" w14:textId="77777777" w:rsidR="009B0F89" w:rsidRDefault="009B0F89" w:rsidP="00AC273D">
      <w:pPr>
        <w:spacing w:after="0"/>
      </w:pPr>
      <w:r>
        <w:separator/>
      </w:r>
    </w:p>
  </w:footnote>
  <w:footnote w:type="continuationSeparator" w:id="0">
    <w:p w14:paraId="10473CD4" w14:textId="77777777" w:rsidR="009B0F89" w:rsidRDefault="009B0F89"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EC4E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589C"/>
    <w:rsid w:val="0003659D"/>
    <w:rsid w:val="000375D5"/>
    <w:rsid w:val="00042681"/>
    <w:rsid w:val="00043B92"/>
    <w:rsid w:val="000440C3"/>
    <w:rsid w:val="0004466B"/>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2796"/>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077C"/>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385"/>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8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09B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45D8"/>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00B"/>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2FA8"/>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6BD0"/>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111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58ED"/>
    <w:rsid w:val="008D6E7A"/>
    <w:rsid w:val="008D774C"/>
    <w:rsid w:val="008E0207"/>
    <w:rsid w:val="008E2FD9"/>
    <w:rsid w:val="008E525F"/>
    <w:rsid w:val="008E52B8"/>
    <w:rsid w:val="008E562C"/>
    <w:rsid w:val="008E65A3"/>
    <w:rsid w:val="008E6C44"/>
    <w:rsid w:val="008E7F71"/>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0F89"/>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36A"/>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0F90"/>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1DBE"/>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3A216"/>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14"/>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character" w:styleId="UnresolvedMention">
    <w:name w:val="Unresolved Mention"/>
    <w:basedOn w:val="DefaultParagraphFont"/>
    <w:uiPriority w:val="99"/>
    <w:semiHidden/>
    <w:unhideWhenUsed/>
    <w:rsid w:val="008D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pie.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parks.nsw.gov.au"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DFFF-2EF1-4584-9CB3-5616BCF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Kylie Isted</cp:lastModifiedBy>
  <cp:revision>2</cp:revision>
  <cp:lastPrinted>2021-06-07T04:46:00Z</cp:lastPrinted>
  <dcterms:created xsi:type="dcterms:W3CDTF">2023-02-13T02:15:00Z</dcterms:created>
  <dcterms:modified xsi:type="dcterms:W3CDTF">2023-02-13T02:15:00Z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